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framePr w:wrap="around"/>
      </w:pPr>
      <w:r>
        <w:rPr>
          <w:rFonts w:ascii="Times New Roman" w:hAnsi="Times New Roman"/>
        </w:rPr>
        <w:t>ICS</w:t>
      </w:r>
      <w:r>
        <w:rPr>
          <w:rFonts w:hint="eastAsia" w:ascii="MS Mincho" w:hAnsi="MS Mincho" w:eastAsia="MS Mincho" w:cs="MS Mincho"/>
          <w:lang w:bidi="ar-SA"/>
        </w:rPr>
        <w:t> </w:t>
      </w:r>
    </w:p>
    <w:p>
      <w:pPr>
        <w:pStyle w:val="15"/>
        <w:framePr w:wrap="around"/>
      </w:pPr>
    </w:p>
    <w:p>
      <w:pPr>
        <w:pStyle w:val="16"/>
        <w:framePr w:wrap="around"/>
        <w:rPr>
          <w:rFonts w:hint="eastAsia"/>
        </w:rPr>
      </w:pPr>
      <w:r>
        <w:t>DB</w:t>
      </w:r>
      <w:r>
        <w:rPr>
          <w:rFonts w:hint="eastAsia"/>
        </w:rPr>
        <w:t>3704</w:t>
      </w:r>
    </w:p>
    <w:p>
      <w:pPr>
        <w:pStyle w:val="18"/>
        <w:framePr w:wrap="around" w:y="2193"/>
      </w:pPr>
      <w:r>
        <w:rPr>
          <w:rFonts w:hint="eastAsia"/>
        </w:rPr>
        <w:t>枣庄市地方标准</w:t>
      </w:r>
    </w:p>
    <w:p>
      <w:pPr>
        <w:pStyle w:val="19"/>
        <w:framePr w:wrap="around" w:x="1349" w:y="2550"/>
        <w:jc w:val="right"/>
        <w:rPr>
          <w:rFonts w:hint="default" w:eastAsia="黑体"/>
          <w:lang w:val="en-US" w:eastAsia="zh-CN"/>
        </w:rPr>
      </w:pPr>
      <w:r>
        <w:rPr>
          <w:rFonts w:ascii="Times New Roman" w:hAnsi="Times New Roman"/>
        </w:rPr>
        <w:t xml:space="preserve">DB </w:t>
      </w:r>
      <w:r>
        <w:rPr>
          <w:rFonts w:hint="eastAsia"/>
        </w:rPr>
        <w:t>3704</w:t>
      </w:r>
      <w:r>
        <w:t xml:space="preserve">/ </w:t>
      </w:r>
      <w:r>
        <w:rPr>
          <w:rFonts w:hint="eastAsia"/>
          <w:lang w:val="en-US" w:eastAsia="zh-CN"/>
        </w:rPr>
        <w:t>XXXX</w:t>
      </w:r>
      <w:r>
        <w:t>—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</w:p>
    <w:p>
      <w:pPr>
        <w:pStyle w:val="19"/>
        <w:framePr w:wrap="around" w:x="1349" w:y="2550"/>
      </w:pPr>
    </w:p>
    <w:p>
      <w:pPr>
        <w:pStyle w:val="19"/>
        <w:framePr w:wrap="around" w:x="1349" w:y="2550"/>
      </w:pPr>
    </w:p>
    <w:p>
      <w:pPr>
        <w:pStyle w:val="20"/>
        <w:framePr w:wrap="around"/>
        <w:rPr>
          <w:rFonts w:hint="eastAsia"/>
          <w:szCs w:val="22"/>
        </w:rPr>
      </w:pPr>
      <w:r>
        <w:rPr>
          <w:rFonts w:hint="eastAsia"/>
          <w:szCs w:val="22"/>
        </w:rPr>
        <w:t>滕州马铃薯生产技术规程</w:t>
      </w:r>
    </w:p>
    <w:p>
      <w:pPr>
        <w:pStyle w:val="20"/>
        <w:framePr w:wrap="around"/>
        <w:rPr>
          <w:rFonts w:hint="eastAsia"/>
          <w:szCs w:val="22"/>
        </w:rPr>
      </w:pPr>
    </w:p>
    <w:p>
      <w:pPr>
        <w:pStyle w:val="20"/>
        <w:framePr w:wrap="around"/>
        <w:rPr>
          <w:rFonts w:hint="eastAsia" w:ascii="Times New Roman" w:hAnsi="Times New Roman" w:eastAsia="宋体" w:cstheme="minorBidi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theme="minorBidi"/>
          <w:color w:val="auto"/>
          <w:kern w:val="2"/>
          <w:sz w:val="44"/>
          <w:szCs w:val="44"/>
          <w:lang w:val="en-US" w:eastAsia="zh-CN" w:bidi="ar-SA"/>
        </w:rPr>
        <w:t>征求意见稿</w:t>
      </w:r>
    </w:p>
    <w:p>
      <w:pPr>
        <w:pStyle w:val="20"/>
        <w:framePr w:wrap="around"/>
        <w:rPr>
          <w:rFonts w:hint="eastAsia"/>
          <w:szCs w:val="22"/>
        </w:rPr>
      </w:pPr>
    </w:p>
    <w:p>
      <w:pPr>
        <w:pStyle w:val="20"/>
        <w:framePr w:wrap="around"/>
        <w:rPr>
          <w:rFonts w:hint="eastAsia"/>
          <w:szCs w:val="22"/>
        </w:rPr>
      </w:pPr>
    </w:p>
    <w:p>
      <w:pPr>
        <w:pStyle w:val="20"/>
        <w:framePr w:wrap="around"/>
        <w:rPr>
          <w:rFonts w:hint="eastAsia"/>
          <w:szCs w:val="22"/>
        </w:rPr>
      </w:pPr>
    </w:p>
    <w:p>
      <w:pPr>
        <w:pStyle w:val="20"/>
        <w:framePr w:wrap="around"/>
      </w:pPr>
    </w:p>
    <w:p>
      <w:pPr>
        <w:pStyle w:val="21"/>
        <w:framePr w:wrap="around"/>
      </w:pPr>
    </w:p>
    <w:p>
      <w:pPr>
        <w:pStyle w:val="22"/>
        <w:framePr w:wrap="around"/>
      </w:pPr>
    </w:p>
    <w:p>
      <w:pPr>
        <w:pStyle w:val="23"/>
        <w:framePr w:w="3984" w:h="505" w:hRule="exact" w:wrap="around" w:y="13152"/>
      </w:pPr>
      <w:r>
        <w:rPr>
          <w:rFonts w:hint="eastAsia" w:ascii="黑体"/>
          <w:lang w:val="en-US" w:eastAsia="zh-CN"/>
        </w:rPr>
        <w:t>2023</w:t>
      </w:r>
      <w:r>
        <w:rPr>
          <w:rFonts w:hint="eastAsia" w:ascii="黑体"/>
        </w:rPr>
        <w:t>–</w:t>
      </w:r>
      <w:r>
        <w:t xml:space="preserve"> </w:t>
      </w:r>
      <w:r>
        <w:rPr>
          <w:rFonts w:hint="eastAsia"/>
        </w:rPr>
        <w:t>XX</w:t>
      </w:r>
      <w:r>
        <w:t xml:space="preserve"> </w:t>
      </w:r>
      <w:r>
        <w:rPr>
          <w:rFonts w:hint="eastAsia" w:ascii="黑体"/>
        </w:rPr>
        <w:t>–</w:t>
      </w:r>
      <w:r>
        <w:t xml:space="preserve"> </w:t>
      </w:r>
      <w:r>
        <w:rPr>
          <w:rFonts w:hint="eastAsia"/>
        </w:rPr>
        <w:t>XX发布</w: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-76200</wp:posOffset>
                </wp:positionH>
                <wp:positionV relativeFrom="page">
                  <wp:posOffset>-2254885</wp:posOffset>
                </wp:positionV>
                <wp:extent cx="61156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-177.55pt;height:0pt;width:481.55pt;mso-position-vertical-relative:page;z-index:251660288;mso-width-relative:page;mso-height-relative:page;" filled="f" stroked="t" coordsize="21600,21600" o:gfxdata="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snvvYAAAADQEAAA8AAAAAAAAAAQAgAAAAIgAAAGRycy9kb3ducmV2LnhtbFBLAQIU&#10;ABQAAAAIAIdO4kDMhmcO8wEAAOQ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25"/>
        <w:framePr w:wrap="around" w:x="6968" w:y="13167"/>
        <w:jc w:val="center"/>
      </w:pPr>
      <w:r>
        <w:rPr>
          <w:rFonts w:hint="eastAsia" w:ascii="黑体"/>
          <w:lang w:val="en-US" w:eastAsia="zh-CN"/>
        </w:rPr>
        <w:t>2023</w:t>
      </w:r>
      <w:r>
        <w:rPr>
          <w:rFonts w:hint="eastAsia" w:ascii="黑体"/>
        </w:rPr>
        <w:t>–</w:t>
      </w:r>
      <w:r>
        <w:t xml:space="preserve"> </w:t>
      </w:r>
      <w:r>
        <w:rPr>
          <w:rFonts w:hint="eastAsia"/>
        </w:rPr>
        <w:t>XX</w:t>
      </w:r>
      <w:r>
        <w:rPr>
          <w:rFonts w:hint="eastAsia" w:ascii="黑体"/>
        </w:rPr>
        <w:t>-</w:t>
      </w:r>
      <w:r>
        <w:t xml:space="preserve"> </w:t>
      </w:r>
      <w:r>
        <w:rPr>
          <w:rFonts w:hint="eastAsia"/>
        </w:rPr>
        <w:t>XX实施</w:t>
      </w:r>
    </w:p>
    <w:p>
      <w:pPr>
        <w:pStyle w:val="27"/>
        <w:framePr w:wrap="around" w:x="2205" w:y="14394"/>
      </w:pPr>
      <w:bookmarkStart w:id="0" w:name="fm"/>
      <w:r>
        <w:rPr>
          <w:w w:val="1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-7430135</wp:posOffset>
                </wp:positionV>
                <wp:extent cx="1143000" cy="2286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5pt;margin-top:-585.05pt;height:18pt;width:90pt;z-index:-251657216;mso-width-relative:page;mso-height-relative:page;" fillcolor="#FFFFFF" filled="t" stroked="f" coordsize="21600,21600" o:gfxdata="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GD8AHbAAAADwEAAA8AAAAAAAAAAQAgAAAAIgAAAGRycy9kb3ducmV2LnhtbFBLAQIUABQA&#10;AAAIAIdO4kCXu8VGtAEAAGoDAAAOAAAAAAAAAAEAIAAAACo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-7016115</wp:posOffset>
                </wp:positionV>
                <wp:extent cx="61150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.2pt;margin-top:-552.45pt;height:0pt;width:481.5pt;z-index:251661312;mso-width-relative:page;mso-height-relative:page;" filled="f" stroked="t" coordsize="21600,21600" o:gfxdata="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1kp/9gAAAAPAQAADwAAAAAAAAABACAAAAAiAAAAZHJzL2Rvd25yZXYueG1sUEsB&#10;AhQAFAAAAAgAh07iQD3WCZ3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枣庄市市场监督管理局</w:t>
      </w:r>
      <w:bookmarkEnd w:id="0"/>
      <w:r>
        <w:t>   </w:t>
      </w:r>
      <w:r>
        <w:rPr>
          <w:rStyle w:val="29"/>
          <w:rFonts w:hint="eastAsia"/>
        </w:rPr>
        <w:t>发布</w:t>
      </w:r>
    </w:p>
    <w:p>
      <w:pPr>
        <w:pStyle w:val="10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8093075</wp:posOffset>
                </wp:positionV>
                <wp:extent cx="61144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2pt;margin-top:637.25pt;height:0pt;width:481.45pt;z-index:251662336;mso-width-relative:page;mso-height-relative:page;" filled="f" stroked="t" coordsize="21600,21600" o:gfxdata="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ds3F2AAAAA0BAAAPAAAAAAAAAAEAIAAAACIAAABkcnMvZG93bnJldi54bWxQSwEC&#10;FAAUAAAACACHTuJAJXnzMvQBAADk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0"/>
        <w:rPr>
          <w:rFonts w:hint="eastAsia"/>
        </w:rPr>
      </w:pPr>
      <w:r>
        <w:rPr>
          <w:rFonts w:hint="eastAsia"/>
        </w:rPr>
        <w:t>前</w:t>
      </w:r>
      <w:bookmarkStart w:id="1" w:name="BKQY"/>
      <w:r>
        <w:t>  </w:t>
      </w:r>
      <w:r>
        <w:rPr>
          <w:rFonts w:hint="eastAsia"/>
        </w:rPr>
        <w:t>言</w:t>
      </w:r>
      <w:bookmarkEnd w:id="1"/>
    </w:p>
    <w:p>
      <w:pPr>
        <w:pStyle w:val="39"/>
        <w:ind w:firstLine="420"/>
        <w:rPr>
          <w:color w:val="auto"/>
          <w:kern w:val="2"/>
        </w:rPr>
      </w:pPr>
      <w:r>
        <w:rPr>
          <w:rFonts w:hint="eastAsia"/>
          <w:color w:val="auto"/>
          <w:kern w:val="2"/>
        </w:rPr>
        <w:t>本文件按照GB/T 1.1—2020《标准化工作导则  第1部分：标准化文件的结构和起草规则》的规定起草。</w:t>
      </w:r>
    </w:p>
    <w:p>
      <w:pPr>
        <w:pStyle w:val="39"/>
        <w:ind w:firstLine="420"/>
        <w:rPr>
          <w:color w:val="auto"/>
          <w:kern w:val="2"/>
        </w:rPr>
      </w:pPr>
      <w:r>
        <w:rPr>
          <w:rFonts w:hint="eastAsia"/>
          <w:color w:val="auto"/>
          <w:kern w:val="2"/>
        </w:rPr>
        <w:t>请注意本文件的某些内容可能涉及专利。本文件的发布机构不承担识别专利的责任。</w:t>
      </w:r>
    </w:p>
    <w:p>
      <w:pPr>
        <w:pStyle w:val="10"/>
        <w:rPr>
          <w:color w:val="auto"/>
          <w:kern w:val="2"/>
        </w:rPr>
      </w:pPr>
      <w:r>
        <w:rPr>
          <w:rFonts w:hint="eastAsia"/>
          <w:color w:val="auto"/>
          <w:kern w:val="2"/>
        </w:rPr>
        <w:t>本文件由枣庄市农业农村局提出。</w:t>
      </w:r>
    </w:p>
    <w:p>
      <w:pPr>
        <w:pStyle w:val="39"/>
        <w:ind w:firstLine="420"/>
      </w:pPr>
      <w:r>
        <w:rPr>
          <w:rFonts w:hint="eastAsia"/>
          <w:color w:val="auto"/>
          <w:kern w:val="2"/>
        </w:rPr>
        <w:t>本文件由枣庄市农业农村局归口并组织实施。</w:t>
      </w:r>
    </w:p>
    <w:p>
      <w:pPr>
        <w:pStyle w:val="10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起草单位：滕州市</w:t>
      </w:r>
      <w:r>
        <w:t>农业技术推广中心</w:t>
      </w:r>
      <w:r>
        <w:rPr>
          <w:rFonts w:hint="eastAsia"/>
        </w:rPr>
        <w:t>、</w:t>
      </w:r>
      <w:r>
        <w:t>枣庄市农业农机技术推广中心、滕州市马铃薯产业发展研究院。</w:t>
      </w:r>
    </w:p>
    <w:p>
      <w:pPr>
        <w:pStyle w:val="10"/>
        <w:rPr>
          <w:rFonts w:hint="eastAsia" w:eastAsia="宋体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docGrid w:type="lines" w:linePitch="312" w:charSpace="0"/>
        </w:sectPr>
      </w:pPr>
      <w:r>
        <w:rPr>
          <w:rFonts w:hint="eastAsia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主要起草人：</w:t>
      </w:r>
      <w:r>
        <w:t>杨建国、马海艳、王振华、朱萍、赵猛、王芳、张瑞华、张慎凤、付新峰、刘兴强、秦竞</w:t>
      </w:r>
      <w:r>
        <w:rPr>
          <w:rFonts w:hint="eastAsia"/>
          <w:lang w:eastAsia="zh-CN"/>
        </w:rPr>
        <w:t>、杨艳茹。</w:t>
      </w:r>
      <w:bookmarkStart w:id="3" w:name="_GoBack"/>
      <w:bookmarkEnd w:id="3"/>
    </w:p>
    <w:p>
      <w:pPr>
        <w:pStyle w:val="31"/>
        <w:rPr>
          <w:rFonts w:hint="eastAsia"/>
        </w:rPr>
      </w:pPr>
      <w:bookmarkStart w:id="2" w:name="StandardName"/>
      <w:r>
        <w:rPr>
          <w:rFonts w:hint="eastAsia" w:ascii="Times New Roman" w:hAnsi="Times New Roman"/>
          <w:szCs w:val="32"/>
        </w:rPr>
        <w:t>滕州马铃薯生产</w:t>
      </w:r>
      <w:r>
        <w:rPr>
          <w:rFonts w:ascii="Times New Roman" w:hAnsi="Times New Roman"/>
          <w:szCs w:val="32"/>
        </w:rPr>
        <w:t>技术规程</w:t>
      </w:r>
    </w:p>
    <w:bookmarkEnd w:id="2"/>
    <w:p>
      <w:pPr>
        <w:pStyle w:val="32"/>
        <w:spacing w:line="400" w:lineRule="exact"/>
        <w:rPr>
          <w:rFonts w:hint="eastAsia"/>
        </w:rPr>
      </w:pPr>
      <w:r>
        <w:rPr>
          <w:rFonts w:hint="eastAsia"/>
        </w:rPr>
        <w:t>范围</w:t>
      </w:r>
    </w:p>
    <w:p>
      <w:pPr>
        <w:pStyle w:val="10"/>
        <w:spacing w:line="400" w:lineRule="exact"/>
      </w:pPr>
      <w:r>
        <w:t>本标准规定了滕州马铃薯的生产技术，包括产地环境、播前准备、品种选择、种薯处理、播种施肥、田间管理、病虫害防治及收获。</w:t>
      </w:r>
    </w:p>
    <w:p>
      <w:pPr>
        <w:pStyle w:val="10"/>
        <w:spacing w:line="400" w:lineRule="exact"/>
      </w:pPr>
      <w:r>
        <w:t>本标准适用于滕州马铃薯的生产。</w:t>
      </w:r>
    </w:p>
    <w:p>
      <w:pPr>
        <w:pStyle w:val="32"/>
        <w:spacing w:line="400" w:lineRule="exact"/>
        <w:rPr>
          <w:rFonts w:hint="eastAsia"/>
        </w:rPr>
      </w:pPr>
      <w:r>
        <w:rPr>
          <w:rFonts w:hint="eastAsia"/>
        </w:rPr>
        <w:t>规范性引用文件</w:t>
      </w:r>
    </w:p>
    <w:p>
      <w:pPr>
        <w:pStyle w:val="10"/>
        <w:spacing w:line="400" w:lineRule="exact"/>
        <w:rPr>
          <w:rFonts w:hint="eastAsia"/>
        </w:rPr>
      </w:pPr>
      <w:r>
        <w:rPr>
          <w:rFonts w:hint="eastAsia"/>
        </w:rPr>
        <w:t>下列文件对于本</w:t>
      </w:r>
      <w:r>
        <w:t>标准</w:t>
      </w:r>
      <w:r>
        <w:rPr>
          <w:rFonts w:hint="eastAsia"/>
        </w:rPr>
        <w:t>的应用是必不可少的。凡是注日期的引用文件，仅所注日期的版本适用于本文件。凡是不注日期的引用文件，其最新版本（包括所有的修改单）适用于本</w:t>
      </w:r>
      <w:r>
        <w:t>标准</w:t>
      </w:r>
      <w:r>
        <w:rPr>
          <w:rFonts w:hint="eastAsia"/>
        </w:rPr>
        <w:t>。</w:t>
      </w:r>
    </w:p>
    <w:p>
      <w:pPr>
        <w:pStyle w:val="10"/>
        <w:spacing w:line="400" w:lineRule="exact"/>
      </w:pPr>
      <w:r>
        <w:t>GB 18133  马铃薯种薯</w:t>
      </w:r>
    </w:p>
    <w:p>
      <w:pPr>
        <w:pStyle w:val="10"/>
        <w:spacing w:line="400" w:lineRule="exact"/>
      </w:pPr>
      <w:r>
        <w:t>NY/T 391  绿色食品 产地环境质量</w:t>
      </w:r>
    </w:p>
    <w:p>
      <w:pPr>
        <w:pStyle w:val="10"/>
        <w:spacing w:line="400" w:lineRule="exact"/>
      </w:pPr>
      <w:r>
        <w:t>NY/T 393  绿色食品 农药使用准则</w:t>
      </w:r>
    </w:p>
    <w:p>
      <w:pPr>
        <w:pStyle w:val="10"/>
        <w:spacing w:line="400" w:lineRule="exact"/>
      </w:pPr>
      <w:r>
        <w:t>NY/T 394  绿色食品 肥料使用准则</w:t>
      </w:r>
    </w:p>
    <w:p>
      <w:pPr>
        <w:pStyle w:val="10"/>
        <w:spacing w:line="400" w:lineRule="exact"/>
      </w:pPr>
      <w:r>
        <w:t>NY/T 2383 马铃薯主要病虫害防治技术规程</w:t>
      </w:r>
    </w:p>
    <w:p>
      <w:pPr>
        <w:pStyle w:val="10"/>
        <w:spacing w:line="400" w:lineRule="exact"/>
      </w:pPr>
      <w:r>
        <w:t>NY/T 1276 农药安全使用规范 总则</w:t>
      </w:r>
    </w:p>
    <w:p>
      <w:pPr>
        <w:pStyle w:val="10"/>
        <w:spacing w:line="400" w:lineRule="exact"/>
      </w:pPr>
      <w:r>
        <w:t>NY/T 496-2010 肥料合理使用准则（通则）</w:t>
      </w:r>
    </w:p>
    <w:p>
      <w:pPr>
        <w:pStyle w:val="32"/>
        <w:spacing w:line="400" w:lineRule="exact"/>
      </w:pPr>
      <w:r>
        <w:t>术语和定义</w:t>
      </w:r>
    </w:p>
    <w:p>
      <w:pPr>
        <w:pStyle w:val="32"/>
        <w:numPr>
          <w:ilvl w:val="0"/>
          <w:numId w:val="0"/>
        </w:numPr>
        <w:spacing w:line="400" w:lineRule="exact"/>
        <w:ind w:firstLine="0" w:firstLineChars="0"/>
      </w:pPr>
      <w:r>
        <w:rPr>
          <w:rFonts w:hint="default" w:hAnsi="Times New Roman"/>
          <w:szCs w:val="20"/>
          <w:lang w:val="en-US"/>
        </w:rPr>
        <w:t>3.1</w:t>
      </w:r>
      <w:r>
        <w:rPr>
          <w:rFonts w:hint="default" w:ascii="黑体" w:hAnsi="Times New Roman" w:eastAsia="黑体"/>
        </w:rPr>
        <w:t>滕州马铃薯</w:t>
      </w:r>
      <w:r>
        <w:t>（Tengzhou potato）</w:t>
      </w:r>
    </w:p>
    <w:p>
      <w:pPr>
        <w:spacing w:line="400" w:lineRule="exact"/>
        <w:ind w:firstLine="315" w:firstLineChars="150"/>
        <w:rPr>
          <w:rFonts w:hint="eastAsia" w:ascii="宋体"/>
          <w:kern w:val="0"/>
          <w:szCs w:val="28"/>
        </w:rPr>
      </w:pPr>
      <w:r>
        <w:rPr>
          <w:rFonts w:hint="eastAsia" w:ascii="宋体"/>
          <w:kern w:val="0"/>
          <w:szCs w:val="28"/>
        </w:rPr>
        <w:t xml:space="preserve"> </w:t>
      </w:r>
      <w:r>
        <w:rPr>
          <w:rFonts w:hint="eastAsia"/>
          <w:sz w:val="21"/>
          <w:szCs w:val="21"/>
        </w:rPr>
        <w:t>在地理坐标为东经116°53′-117°12′，北纬35°04′-35°18′之间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界河、龙阳、姜屯和大坞等镇种植的马铃薯</w:t>
      </w:r>
      <w:r>
        <w:rPr>
          <w:sz w:val="21"/>
          <w:szCs w:val="21"/>
        </w:rPr>
        <w:t>。</w:t>
      </w:r>
      <w:r>
        <w:rPr>
          <w:rFonts w:hint="eastAsia" w:ascii="宋体"/>
          <w:kern w:val="0"/>
          <w:szCs w:val="28"/>
        </w:rPr>
        <w:t>薯块长椭圆形，芽眼浅，表皮光滑，黄皮黄肉，</w:t>
      </w:r>
      <w:r>
        <w:rPr>
          <w:rFonts w:hint="eastAsia" w:ascii="宋体"/>
          <w:kern w:val="0"/>
          <w:szCs w:val="28"/>
          <w:lang w:eastAsia="zh-CN"/>
        </w:rPr>
        <w:t>干物质含量较低，</w:t>
      </w:r>
      <w:r>
        <w:rPr>
          <w:rFonts w:hint="eastAsia" w:ascii="宋体"/>
          <w:kern w:val="0"/>
          <w:szCs w:val="28"/>
        </w:rPr>
        <w:t>适宜鲜食菜用。</w:t>
      </w:r>
    </w:p>
    <w:p>
      <w:pPr>
        <w:pStyle w:val="32"/>
        <w:numPr>
          <w:ilvl w:val="0"/>
          <w:numId w:val="0"/>
        </w:numPr>
        <w:spacing w:line="660" w:lineRule="exact"/>
        <w:rPr>
          <w:rFonts w:hint="default" w:ascii="黑体" w:hAnsi="Times New Roman" w:eastAsia="黑体"/>
          <w:b w:val="0"/>
          <w:bCs w:val="0"/>
          <w:sz w:val="21"/>
          <w:szCs w:val="20"/>
        </w:rPr>
      </w:pPr>
      <w:r>
        <w:rPr>
          <w:rFonts w:hint="default" w:hAnsi="Times New Roman"/>
          <w:kern w:val="0"/>
          <w:szCs w:val="20"/>
          <w:lang w:val="en-US"/>
        </w:rPr>
        <w:t xml:space="preserve">3.2 </w:t>
      </w:r>
      <w:r>
        <w:rPr>
          <w:rFonts w:hint="default" w:ascii="黑体" w:hAnsi="Times New Roman" w:eastAsia="黑体"/>
          <w:b w:val="0"/>
          <w:bCs w:val="0"/>
          <w:sz w:val="21"/>
          <w:szCs w:val="20"/>
        </w:rPr>
        <w:t xml:space="preserve"> 拱棚</w:t>
      </w:r>
    </w:p>
    <w:p>
      <w:pPr>
        <w:spacing w:line="400" w:lineRule="exact"/>
        <w:ind w:firstLine="420" w:firstLineChars="200"/>
        <w:rPr>
          <w:rFonts w:hint="eastAsia" w:ascii="Times New Roman" w:eastAsia="宋体"/>
          <w:sz w:val="21"/>
          <w:szCs w:val="21"/>
        </w:rPr>
      </w:pPr>
      <w:r>
        <w:rPr>
          <w:rFonts w:hint="eastAsia" w:ascii="Times New Roman" w:eastAsia="宋体"/>
          <w:sz w:val="21"/>
          <w:szCs w:val="21"/>
        </w:rPr>
        <w:t>采用塑料薄膜覆盖的拱圆形棚，其骨架常用竹、木、钢</w:t>
      </w:r>
      <w:r>
        <w:rPr>
          <w:rFonts w:hint="eastAsia"/>
          <w:sz w:val="21"/>
          <w:szCs w:val="21"/>
          <w:lang w:eastAsia="zh-CN"/>
        </w:rPr>
        <w:t>管</w:t>
      </w:r>
      <w:r>
        <w:rPr>
          <w:rFonts w:hint="eastAsia" w:ascii="Times New Roman" w:eastAsia="宋体"/>
          <w:sz w:val="21"/>
          <w:szCs w:val="21"/>
        </w:rPr>
        <w:t>或复合材料建造而成。</w:t>
      </w:r>
    </w:p>
    <w:p>
      <w:pPr>
        <w:pStyle w:val="2"/>
        <w:rPr>
          <w:rFonts w:hint="default"/>
          <w:lang w:val="en-US"/>
        </w:rPr>
      </w:pPr>
    </w:p>
    <w:p>
      <w:pPr>
        <w:pStyle w:val="32"/>
        <w:spacing w:line="400" w:lineRule="exact"/>
      </w:pPr>
      <w:r>
        <w:t>产地环境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20" w:firstLineChars="200"/>
        <w:jc w:val="both"/>
        <w:textAlignment w:val="auto"/>
        <w:rPr>
          <w:rFonts w:hint="eastAsia" w:ascii="宋体" w:hAnsi="Times New Roman" w:eastAsia="宋体" w:cs="宋体"/>
          <w:kern w:val="0"/>
          <w:sz w:val="21"/>
          <w:szCs w:val="28"/>
        </w:rPr>
      </w:pPr>
      <w:r>
        <w:rPr>
          <w:rFonts w:hint="eastAsia" w:ascii="宋体" w:hAnsi="Times New Roman" w:eastAsia="宋体" w:cs="宋体"/>
          <w:kern w:val="0"/>
          <w:sz w:val="21"/>
          <w:szCs w:val="28"/>
        </w:rPr>
        <w:t>选择</w:t>
      </w:r>
      <w:r>
        <w:rPr>
          <w:rFonts w:hint="eastAsia" w:ascii="宋体" w:cs="宋体"/>
          <w:kern w:val="0"/>
          <w:sz w:val="21"/>
          <w:szCs w:val="28"/>
          <w:lang w:eastAsia="zh-CN"/>
        </w:rPr>
        <w:t>地势较高、</w:t>
      </w:r>
      <w:r>
        <w:rPr>
          <w:rFonts w:hint="eastAsia" w:ascii="宋体" w:hAnsi="Times New Roman" w:eastAsia="宋体" w:cs="宋体"/>
          <w:kern w:val="0"/>
          <w:sz w:val="21"/>
          <w:szCs w:val="28"/>
        </w:rPr>
        <w:t>土壤肥沃、地势平坦、排灌方便、耕作层深厚、土质疏松的沙壤土或壤土，土壤理化性状良好，土壤有机质大于12mg/kg，土壤pH值5.5-7.5。</w:t>
      </w:r>
    </w:p>
    <w:p>
      <w:pPr>
        <w:pStyle w:val="33"/>
        <w:numPr>
          <w:ilvl w:val="0"/>
          <w:numId w:val="0"/>
        </w:numPr>
        <w:spacing w:before="156" w:after="156" w:line="400" w:lineRule="exact"/>
        <w:ind w:left="0" w:firstLine="525" w:firstLineChars="250"/>
        <w:rPr>
          <w:rFonts w:hint="eastAsia" w:ascii="黑体" w:eastAsia="黑体" w:cs="Times New Roman"/>
          <w:bCs/>
          <w:kern w:val="21"/>
          <w:szCs w:val="24"/>
          <w:lang w:bidi="ar-SA"/>
        </w:rPr>
      </w:pPr>
      <w:r>
        <w:rPr>
          <w:rFonts w:cs="宋体"/>
          <w:lang w:bidi="ar-SA"/>
        </w:rPr>
        <w:t>农用水、</w:t>
      </w:r>
      <w:r>
        <w:rPr>
          <w:rFonts w:hint="eastAsia" w:ascii="宋体" w:eastAsia="宋体" w:cs="宋体"/>
          <w:szCs w:val="28"/>
          <w:lang w:bidi="ar-SA"/>
        </w:rPr>
        <w:t>大气无污染、空气清新</w:t>
      </w:r>
      <w:r>
        <w:rPr>
          <w:rFonts w:cs="宋体"/>
          <w:lang w:bidi="ar-SA"/>
        </w:rPr>
        <w:t>，</w:t>
      </w:r>
      <w:r>
        <w:rPr>
          <w:rFonts w:hint="eastAsia" w:ascii="宋体" w:eastAsia="宋体" w:cs="宋体"/>
          <w:szCs w:val="28"/>
          <w:lang w:bidi="ar-SA"/>
        </w:rPr>
        <w:t>环境条件应符合NY/T 391的规定。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312" w:after="312"/>
        <w:rPr>
          <w:rFonts w:hint="eastAsia"/>
          <w:bCs/>
        </w:rPr>
      </w:pPr>
      <w:r>
        <w:rPr>
          <w:bCs/>
        </w:rPr>
        <w:t>5</w:t>
      </w:r>
      <w:r>
        <w:rPr>
          <w:rFonts w:hint="eastAsia"/>
          <w:bCs/>
        </w:rPr>
        <w:t xml:space="preserve"> 播前准备</w:t>
      </w:r>
    </w:p>
    <w:p>
      <w:pPr>
        <w:pStyle w:val="33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bCs/>
        </w:rPr>
      </w:pPr>
      <w:r>
        <w:rPr>
          <w:bCs/>
        </w:rPr>
        <w:t>5</w:t>
      </w:r>
      <w:r>
        <w:rPr>
          <w:rFonts w:hint="eastAsia"/>
          <w:bCs/>
        </w:rPr>
        <w:t>.1 清洁田园</w:t>
      </w:r>
    </w:p>
    <w:p>
      <w:pPr>
        <w:pStyle w:val="10"/>
        <w:spacing w:line="400" w:lineRule="exact"/>
        <w:rPr>
          <w:rFonts w:hint="eastAsia"/>
        </w:rPr>
      </w:pPr>
      <w:r>
        <w:rPr>
          <w:rFonts w:hint="eastAsia"/>
        </w:rPr>
        <w:t>清除上茬作物残留枝叶，带出田外集中处理，降低病（虫）源基数。</w:t>
      </w:r>
    </w:p>
    <w:p>
      <w:pPr>
        <w:pStyle w:val="33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</w:rPr>
      </w:pPr>
      <w:r>
        <w:t>5</w:t>
      </w:r>
      <w:r>
        <w:rPr>
          <w:rFonts w:hint="eastAsia"/>
        </w:rPr>
        <w:t xml:space="preserve">.2 </w:t>
      </w:r>
      <w:r>
        <w:rPr>
          <w:rFonts w:hint="eastAsia"/>
          <w:lang w:eastAsia="zh-CN"/>
        </w:rPr>
        <w:t>冬前深耕</w:t>
      </w:r>
    </w:p>
    <w:p>
      <w:pPr>
        <w:pStyle w:val="10"/>
        <w:spacing w:line="400" w:lineRule="exact"/>
        <w:rPr>
          <w:rFonts w:hint="eastAsia"/>
          <w:lang w:bidi="ar-SA"/>
        </w:rPr>
      </w:pPr>
      <w:r>
        <w:rPr>
          <w:rFonts w:hint="eastAsia"/>
          <w:lang w:val="en-US" w:eastAsia="zh-CN"/>
        </w:rPr>
        <w:t>11月中下旬，</w:t>
      </w:r>
      <w:r>
        <w:rPr>
          <w:rFonts w:hint="eastAsia"/>
        </w:rPr>
        <w:t>深翻土壤</w:t>
      </w:r>
      <w:r>
        <w:rPr>
          <w:rFonts w:hint="eastAsia"/>
          <w:lang w:bidi="ar-SA"/>
        </w:rPr>
        <w:t>30cm～35cm</w:t>
      </w:r>
      <w:r>
        <w:rPr>
          <w:rFonts w:hint="eastAsia"/>
        </w:rPr>
        <w:t>，整平耙实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宜使用机械耕翻，维持</w:t>
      </w:r>
      <w:r>
        <w:rPr>
          <w:rFonts w:hint="eastAsia"/>
          <w:lang w:bidi="ar-SA"/>
        </w:rPr>
        <w:t>土壤结构。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5.3施底肥</w:t>
      </w:r>
    </w:p>
    <w:p>
      <w:pPr>
        <w:pStyle w:val="10"/>
        <w:spacing w:line="400" w:lineRule="exact"/>
        <w:rPr>
          <w:rFonts w:hint="eastAsia" w:hAnsi="Times New Roman"/>
          <w:lang w:bidi="ar-SA"/>
        </w:rPr>
      </w:pPr>
      <w:r>
        <w:rPr>
          <w:rFonts w:hint="eastAsia" w:hAnsi="Times New Roman"/>
          <w:lang w:eastAsia="zh-CN" w:bidi="ar-SA"/>
        </w:rPr>
        <w:t>采用马铃薯全营养分餐式施肥方法，根据地块营养状况、马铃薯的需肥规律，按</w:t>
      </w:r>
      <w:r>
        <w:rPr>
          <w:rFonts w:hint="eastAsia" w:hAnsi="Times New Roman"/>
          <w:lang w:val="en-US" w:eastAsia="zh-CN" w:bidi="ar-SA"/>
        </w:rPr>
        <w:t>5000kg的目标产量，计算需肥总量。</w:t>
      </w:r>
    </w:p>
    <w:p>
      <w:pPr>
        <w:pStyle w:val="10"/>
        <w:spacing w:line="400" w:lineRule="exact"/>
        <w:rPr>
          <w:rFonts w:hint="eastAsia" w:ascii="宋体" w:hAnsi="Times New Roman" w:eastAsia="宋体"/>
          <w:sz w:val="21"/>
          <w:szCs w:val="20"/>
          <w:lang w:val="en-US" w:eastAsia="zh-CN"/>
        </w:rPr>
      </w:pPr>
      <w:r>
        <w:rPr>
          <w:rFonts w:hint="eastAsia" w:ascii="宋体" w:hAnsi="Times New Roman" w:eastAsia="宋体"/>
          <w:sz w:val="21"/>
          <w:szCs w:val="20"/>
          <w:lang w:eastAsia="zh-CN"/>
        </w:rPr>
        <w:t>播前</w:t>
      </w:r>
      <w:r>
        <w:rPr>
          <w:rFonts w:hint="eastAsia" w:ascii="宋体" w:hAnsi="Times New Roman" w:eastAsia="宋体"/>
          <w:sz w:val="21"/>
          <w:szCs w:val="20"/>
          <w:lang w:val="en-US" w:eastAsia="zh-CN"/>
        </w:rPr>
        <w:t>，将全部的有机肥、磷肥、钙镁肥、锌硼肥和三分之一氮肥、钾肥全田撒施</w:t>
      </w:r>
      <w:r>
        <w:rPr>
          <w:rFonts w:hint="eastAsia" w:hAnsi="Times New Roman"/>
          <w:sz w:val="21"/>
          <w:szCs w:val="20"/>
          <w:lang w:val="en-US" w:eastAsia="zh-CN"/>
        </w:rPr>
        <w:t>作为基肥</w:t>
      </w:r>
      <w:r>
        <w:rPr>
          <w:rFonts w:hint="eastAsia" w:ascii="宋体" w:hAnsi="Times New Roman" w:eastAsia="宋体"/>
          <w:sz w:val="21"/>
          <w:szCs w:val="20"/>
          <w:lang w:val="en-US" w:eastAsia="zh-CN"/>
        </w:rPr>
        <w:t>。</w:t>
      </w:r>
    </w:p>
    <w:p>
      <w:pPr>
        <w:pStyle w:val="10"/>
        <w:spacing w:line="400" w:lineRule="exact"/>
        <w:rPr>
          <w:rFonts w:hint="default"/>
        </w:rPr>
      </w:pPr>
      <w:r>
        <w:rPr>
          <w:rFonts w:hint="eastAsia" w:ascii="宋体" w:hAnsi="Times New Roman" w:eastAsia="宋体"/>
          <w:sz w:val="21"/>
          <w:szCs w:val="20"/>
        </w:rPr>
        <w:t>生产中</w:t>
      </w:r>
      <w:r>
        <w:rPr>
          <w:rFonts w:hint="eastAsia" w:ascii="宋体" w:hAnsi="Times New Roman" w:eastAsia="宋体"/>
          <w:sz w:val="21"/>
          <w:szCs w:val="20"/>
          <w:lang w:eastAsia="zh-CN"/>
        </w:rPr>
        <w:t>严禁</w:t>
      </w:r>
      <w:r>
        <w:rPr>
          <w:rFonts w:hint="eastAsia" w:ascii="宋体" w:hAnsi="Times New Roman" w:eastAsia="宋体"/>
          <w:sz w:val="21"/>
          <w:szCs w:val="20"/>
        </w:rPr>
        <w:t>使用城市垃圾、污泥、工业废渣和未经无害化处理的有机肥。</w:t>
      </w:r>
      <w:r>
        <w:rPr>
          <w:rFonts w:hint="eastAsia" w:hAnsi="Times New Roman"/>
          <w:lang w:bidi="ar-SA"/>
        </w:rPr>
        <w:t>肥料施用</w:t>
      </w:r>
      <w:r>
        <w:rPr>
          <w:rFonts w:hint="eastAsia"/>
        </w:rPr>
        <w:t>符合</w:t>
      </w:r>
      <w:r>
        <w:t>NY/T 394、</w:t>
      </w:r>
      <w:r>
        <w:rPr>
          <w:rFonts w:hint="eastAsia" w:hAnsi="Times New Roman"/>
          <w:lang w:bidi="ar-SA"/>
        </w:rPr>
        <w:t>NY/T 496要求。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5.4播前整平</w:t>
      </w:r>
    </w:p>
    <w:p>
      <w:pPr>
        <w:spacing w:line="660" w:lineRule="exact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肥料撒施后立即使用旋耕机进行整平地块，耙细、耙匀，要求土壤上松下实、没有坷垃。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5.5建拱棚</w:t>
      </w:r>
    </w:p>
    <w:p>
      <w:pPr>
        <w:spacing w:line="660" w:lineRule="exact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在播种前建塑料拱棚。棚体周围没有遮荫物，背风向阳，一般为南北走向，东西排列，有利于棚内受光均匀，植株长势均匀。</w:t>
      </w:r>
    </w:p>
    <w:p>
      <w:pPr>
        <w:pStyle w:val="10"/>
        <w:spacing w:line="400" w:lineRule="exact"/>
        <w:rPr>
          <w:rFonts w:hint="default"/>
          <w:lang w:val="en-US" w:eastAsia="zh-CN" w:bidi="ar-SA"/>
        </w:rPr>
      </w:pPr>
      <w:r>
        <w:rPr>
          <w:rFonts w:hint="eastAsia"/>
          <w:lang w:val="en-US" w:eastAsia="zh-CN" w:bidi="ar-SA"/>
        </w:rPr>
        <w:t>三膜覆盖栽培应提前10d左右覆盖好大农膜。</w:t>
      </w:r>
    </w:p>
    <w:p>
      <w:pPr>
        <w:pStyle w:val="9"/>
        <w:numPr>
          <w:ilvl w:val="0"/>
          <w:numId w:val="0"/>
        </w:numPr>
        <w:tabs>
          <w:tab w:val="clear" w:pos="0"/>
        </w:tabs>
        <w:spacing w:before="312" w:after="312"/>
      </w:pPr>
      <w:r>
        <w:t>6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种薯处理</w:t>
      </w:r>
    </w:p>
    <w:p>
      <w:pPr>
        <w:pStyle w:val="9"/>
        <w:numPr>
          <w:ilvl w:val="0"/>
          <w:numId w:val="0"/>
        </w:numPr>
        <w:tabs>
          <w:tab w:val="clear" w:pos="0"/>
        </w:tabs>
        <w:rPr>
          <w:rFonts w:hint="eastAsia"/>
        </w:rPr>
      </w:pPr>
      <w:r>
        <w:t>6</w:t>
      </w:r>
      <w:r>
        <w:rPr>
          <w:rFonts w:hint="eastAsia"/>
        </w:rPr>
        <w:t>.1 品种选择</w:t>
      </w:r>
    </w:p>
    <w:p>
      <w:pPr>
        <w:pStyle w:val="10"/>
        <w:spacing w:line="400" w:lineRule="exact"/>
        <w:rPr>
          <w:rFonts w:hint="eastAsia" w:ascii="宋体"/>
          <w:kern w:val="0"/>
          <w:szCs w:val="28"/>
        </w:rPr>
      </w:pPr>
      <w:r>
        <w:rPr>
          <w:rFonts w:hint="eastAsia" w:ascii="宋体" w:cs="宋体"/>
          <w:kern w:val="0"/>
          <w:szCs w:val="28"/>
          <w:lang w:bidi="ar-SA"/>
        </w:rPr>
        <w:t>选用早熟、抗病、优质、丰产、抗逆性强，适合滕州市种植，如Favorita系列品种等。种薯质量符合GB 18133要求，植物检疫合格。</w:t>
      </w:r>
    </w:p>
    <w:p>
      <w:pPr>
        <w:pStyle w:val="35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</w:rPr>
      </w:pPr>
      <w:r>
        <w:rPr>
          <w:rFonts w:hint="eastAsia" w:ascii="黑体" w:eastAsia="黑体"/>
          <w:szCs w:val="21"/>
        </w:rPr>
        <w:t xml:space="preserve">6.2 </w:t>
      </w:r>
      <w:r>
        <w:rPr>
          <w:rFonts w:hint="eastAsia"/>
        </w:rPr>
        <w:t xml:space="preserve"> 晒种</w:t>
      </w:r>
    </w:p>
    <w:p>
      <w:pPr>
        <w:pStyle w:val="10"/>
        <w:spacing w:line="400" w:lineRule="exact"/>
        <w:rPr>
          <w:rFonts w:hint="eastAsia"/>
        </w:rPr>
      </w:pPr>
      <w:r>
        <w:rPr>
          <w:rFonts w:hint="eastAsia"/>
        </w:rPr>
        <w:t>播种前30d～40d精选种薯，剔除病、虫、烂、伤、杂、劣种薯。切块前晾晒3d～5d，以促进侧芽发育。</w:t>
      </w:r>
    </w:p>
    <w:p>
      <w:pPr>
        <w:pStyle w:val="10"/>
        <w:numPr>
          <w:ilvl w:val="0"/>
          <w:numId w:val="0"/>
        </w:numPr>
        <w:spacing w:before="156" w:after="156" w:line="400" w:lineRule="exact"/>
        <w:rPr>
          <w:rFonts w:hint="eastAsia"/>
        </w:rPr>
      </w:pPr>
    </w:p>
    <w:p>
      <w:pPr>
        <w:pStyle w:val="36"/>
        <w:numPr>
          <w:ilvl w:val="0"/>
          <w:numId w:val="0"/>
        </w:numPr>
        <w:spacing w:before="156" w:after="156" w:line="400" w:lineRule="exact"/>
        <w:rPr>
          <w:rFonts w:hint="eastAsia"/>
          <w:lang w:eastAsia="zh-CN"/>
        </w:rPr>
      </w:pPr>
      <w:r>
        <w:t>6</w:t>
      </w:r>
      <w:r>
        <w:rPr>
          <w:rFonts w:hint="eastAsia"/>
        </w:rPr>
        <w:t>.3</w:t>
      </w:r>
      <w:r>
        <w:rPr>
          <w:rFonts w:hint="eastAsia"/>
          <w:lang w:eastAsia="zh-CN"/>
        </w:rPr>
        <w:t>切块</w:t>
      </w:r>
    </w:p>
    <w:p>
      <w:pPr>
        <w:pStyle w:val="36"/>
        <w:numPr>
          <w:ilvl w:val="0"/>
          <w:numId w:val="0"/>
        </w:numPr>
        <w:spacing w:before="156" w:after="156" w:line="400" w:lineRule="exact"/>
        <w:ind w:firstLine="420" w:firstLineChars="200"/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lang w:val="en-US" w:eastAsia="zh-CN" w:bidi="ar-SA"/>
        </w:rPr>
        <w:t>播种前25d左右进行切块。切块大小均匀，每块25g左右，2个～3个芽眼。小于50g的种薯不切块。切刀准备多把，每切一个种薯后用75%酒精浸泡消毒或0.5%的高锰酸钾水溶液，严防交叉感染。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6.4催芽</w:t>
      </w:r>
    </w:p>
    <w:p>
      <w:pPr>
        <w:pStyle w:val="36"/>
        <w:numPr>
          <w:ilvl w:val="0"/>
          <w:numId w:val="0"/>
        </w:numPr>
        <w:spacing w:before="156" w:after="156" w:line="400" w:lineRule="exact"/>
        <w:ind w:firstLine="420" w:firstLineChars="200"/>
        <w:rPr>
          <w:rFonts w:hint="eastAsia" w:ascii="宋体" w:eastAsia="宋体"/>
          <w:kern w:val="0"/>
          <w:szCs w:val="28"/>
        </w:rPr>
      </w:pPr>
      <w:r>
        <w:rPr>
          <w:rFonts w:hint="eastAsia" w:ascii="宋体" w:eastAsia="宋体"/>
          <w:kern w:val="0"/>
          <w:szCs w:val="28"/>
        </w:rPr>
        <w:t>切块刀口晾干后，堆放在阳畦或室内催芽。阳畦内每层种薯切块覆盖一层沙土，厚度1.5cm～2.0cm，一般2层～3层，最后一层覆土2cm～3cm，上面盖草苫保墒。芽床温度15℃～</w:t>
      </w:r>
      <w:r>
        <w:rPr>
          <w:rFonts w:hint="eastAsia" w:ascii="宋体" w:eastAsia="宋体"/>
          <w:kern w:val="0"/>
          <w:szCs w:val="28"/>
          <w:lang w:val="en-US" w:eastAsia="zh-CN"/>
        </w:rPr>
        <w:t>20</w:t>
      </w:r>
      <w:r>
        <w:rPr>
          <w:rFonts w:hint="eastAsia" w:ascii="宋体" w:eastAsia="宋体"/>
          <w:kern w:val="0"/>
          <w:szCs w:val="28"/>
        </w:rPr>
        <w:t>℃。芽长1.5cm～2.0cm时，扒出晾芽3d～5d，使之变粗变绿。也可将拌好的种块装入筐中，放置在环境湿度为85%、温度18～22℃的室内，使用潮湿的布料盖住，进行催芽。当芽长到1～2</w:t>
      </w:r>
      <w:r>
        <w:rPr>
          <w:rFonts w:hint="eastAsia" w:ascii="宋体" w:eastAsia="宋体"/>
          <w:kern w:val="0"/>
          <w:szCs w:val="28"/>
          <w:lang w:val="en-US" w:eastAsia="zh-CN"/>
        </w:rPr>
        <w:t>cm</w:t>
      </w:r>
      <w:r>
        <w:rPr>
          <w:rFonts w:hint="eastAsia" w:ascii="宋体" w:eastAsia="宋体"/>
          <w:kern w:val="0"/>
          <w:szCs w:val="28"/>
        </w:rPr>
        <w:t>左右时，将其放在散射光下进行晾晒，使之均匀见光，等芽变成浓绿的壮芽，就可以准备播种了。未经过休眠期的种薯，切块后放入3mg/kg～5mg/kg浓度的赤霉素溶液中浸泡5min～10min，取出晾干后催芽。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7 播种 </w:t>
      </w:r>
    </w:p>
    <w:p>
      <w:pPr>
        <w:pStyle w:val="10"/>
        <w:spacing w:before="156" w:after="156"/>
        <w:ind w:firstLine="0" w:firstLineChars="0"/>
      </w:pPr>
      <w:r>
        <w:rPr>
          <w:rFonts w:hint="eastAsia" w:ascii="黑体" w:eastAsia="黑体"/>
          <w:szCs w:val="21"/>
          <w:lang w:val="en-US" w:eastAsia="zh-CN"/>
        </w:rPr>
        <w:t>7.1</w:t>
      </w:r>
      <w:r>
        <w:rPr>
          <w:rFonts w:hint="eastAsia" w:ascii="黑体" w:eastAsia="黑体"/>
          <w:szCs w:val="21"/>
        </w:rPr>
        <w:t>栽培方式</w:t>
      </w:r>
    </w:p>
    <w:p>
      <w:pPr>
        <w:pStyle w:val="10"/>
        <w:spacing w:line="400" w:lineRule="exact"/>
        <w:rPr>
          <w:rFonts w:hint="eastAsia"/>
          <w:lang w:eastAsia="zh-CN" w:bidi="ar-SA"/>
        </w:rPr>
      </w:pPr>
      <w:r>
        <w:rPr>
          <w:rFonts w:hint="eastAsia"/>
          <w:lang w:eastAsia="zh-CN" w:bidi="ar-SA"/>
        </w:rPr>
        <w:t>地膜栽培：垄面上紧贴地面覆盖一层地膜。</w:t>
      </w:r>
    </w:p>
    <w:p>
      <w:pPr>
        <w:pStyle w:val="10"/>
        <w:spacing w:line="400" w:lineRule="exact"/>
        <w:rPr>
          <w:rFonts w:hint="eastAsia"/>
          <w:lang w:eastAsia="zh-CN" w:bidi="ar-SA"/>
        </w:rPr>
      </w:pPr>
      <w:r>
        <w:rPr>
          <w:rFonts w:hint="eastAsia"/>
          <w:lang w:eastAsia="zh-CN" w:bidi="ar-SA"/>
        </w:rPr>
        <w:t>二膜覆盖栽培：在地膜栽培的基础上，搭建拱棚，覆盖农膜。</w:t>
      </w:r>
    </w:p>
    <w:p>
      <w:pPr>
        <w:pStyle w:val="10"/>
        <w:spacing w:line="400" w:lineRule="exact"/>
        <w:rPr>
          <w:rFonts w:hint="eastAsia"/>
        </w:rPr>
      </w:pPr>
      <w:r>
        <w:rPr>
          <w:lang w:bidi="ar-SA"/>
        </w:rPr>
        <w:t>主要有</w:t>
      </w:r>
      <w:r>
        <w:rPr>
          <w:rFonts w:hint="eastAsia"/>
          <w:lang w:eastAsia="zh-CN" w:bidi="ar-SA"/>
        </w:rPr>
        <w:t>三种栽培方式：在二膜覆盖栽培的拱棚内在扣小拱棚。</w:t>
      </w:r>
    </w:p>
    <w:p>
      <w:pPr>
        <w:pStyle w:val="35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</w:rPr>
      </w:pPr>
      <w:r>
        <w:rPr>
          <w:rFonts w:hint="eastAsia"/>
          <w:lang w:val="en-US" w:eastAsia="zh-CN"/>
        </w:rPr>
        <w:t>7.2</w:t>
      </w:r>
      <w:r>
        <w:rPr>
          <w:rFonts w:hint="eastAsia"/>
        </w:rPr>
        <w:t>播种时期</w:t>
      </w:r>
    </w:p>
    <w:p>
      <w:pPr>
        <w:pStyle w:val="10"/>
        <w:spacing w:line="400" w:lineRule="exact"/>
        <w:rPr>
          <w:rFonts w:hint="eastAsia"/>
          <w:lang w:bidi="ar"/>
        </w:rPr>
      </w:pPr>
      <w:r>
        <w:t>三膜覆盖栽培，1月底2月初播种。</w:t>
      </w:r>
      <w:r>
        <w:rPr>
          <w:rFonts w:hint="eastAsia"/>
          <w:lang w:eastAsia="zh-CN"/>
        </w:rPr>
        <w:t>二膜</w:t>
      </w:r>
      <w:r>
        <w:t>覆盖栽培，2月中旬播种。地膜覆盖栽培，</w:t>
      </w:r>
      <w:r>
        <w:rPr>
          <w:rFonts w:hint="eastAsia"/>
          <w:lang w:val="en-US" w:eastAsia="zh-CN"/>
        </w:rPr>
        <w:t>2月下旬～</w:t>
      </w:r>
      <w:r>
        <w:t>3月初播种。</w:t>
      </w:r>
    </w:p>
    <w:p>
      <w:pPr>
        <w:pStyle w:val="35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</w:rPr>
      </w:pPr>
      <w:r>
        <w:rPr>
          <w:rFonts w:hint="eastAsia"/>
          <w:lang w:val="en-US" w:eastAsia="zh-CN"/>
        </w:rPr>
        <w:t>7.3</w:t>
      </w:r>
      <w:r>
        <w:rPr>
          <w:rFonts w:hint="eastAsia"/>
        </w:rPr>
        <w:t xml:space="preserve"> 播种密度</w:t>
      </w:r>
    </w:p>
    <w:p>
      <w:pPr>
        <w:pStyle w:val="10"/>
        <w:spacing w:line="400" w:lineRule="exact"/>
        <w:rPr>
          <w:rFonts w:hint="eastAsia"/>
          <w:lang w:bidi="ar-SA"/>
        </w:rPr>
      </w:pPr>
      <w:r>
        <w:rPr>
          <w:lang w:bidi="ar-SA"/>
        </w:rPr>
        <w:t>大垄</w:t>
      </w:r>
      <w:r>
        <w:rPr>
          <w:rFonts w:hint="eastAsia"/>
          <w:lang w:bidi="ar-SA"/>
        </w:rPr>
        <w:t>双行栽培：小行距20cm，大行距</w:t>
      </w:r>
      <w:r>
        <w:rPr>
          <w:rFonts w:hint="eastAsia"/>
          <w:lang w:val="en-US" w:eastAsia="zh-CN" w:bidi="ar-SA"/>
        </w:rPr>
        <w:t>80</w:t>
      </w:r>
      <w:r>
        <w:rPr>
          <w:rFonts w:hint="eastAsia"/>
          <w:lang w:bidi="ar-SA"/>
        </w:rPr>
        <w:t>cm～</w:t>
      </w:r>
      <w:r>
        <w:rPr>
          <w:rFonts w:hint="eastAsia"/>
          <w:lang w:val="en-US" w:eastAsia="zh-CN" w:bidi="ar-SA"/>
        </w:rPr>
        <w:t>85</w:t>
      </w:r>
      <w:r>
        <w:rPr>
          <w:rFonts w:hint="eastAsia"/>
          <w:lang w:bidi="ar-SA"/>
        </w:rPr>
        <w:t>cm，株距2</w:t>
      </w:r>
      <w:r>
        <w:rPr>
          <w:rFonts w:hint="eastAsia"/>
          <w:lang w:val="en-US" w:eastAsia="zh-CN" w:bidi="ar-SA"/>
        </w:rPr>
        <w:t>5</w:t>
      </w:r>
      <w:r>
        <w:rPr>
          <w:rFonts w:hint="eastAsia"/>
          <w:lang w:bidi="ar-SA"/>
        </w:rPr>
        <w:t>cm～</w:t>
      </w:r>
      <w:r>
        <w:rPr>
          <w:rFonts w:hint="eastAsia"/>
          <w:lang w:val="en-US" w:eastAsia="zh-CN" w:bidi="ar-SA"/>
        </w:rPr>
        <w:t>30</w:t>
      </w:r>
      <w:r>
        <w:rPr>
          <w:rFonts w:hint="eastAsia"/>
          <w:lang w:bidi="ar-SA"/>
        </w:rPr>
        <w:t>cm，5500株/667m</w:t>
      </w:r>
      <w:r>
        <w:rPr>
          <w:rFonts w:hint="eastAsia"/>
          <w:vertAlign w:val="superscript"/>
          <w:lang w:bidi="ar-SA"/>
        </w:rPr>
        <w:t>2</w:t>
      </w:r>
      <w:r>
        <w:rPr>
          <w:rFonts w:hint="eastAsia"/>
          <w:lang w:bidi="ar-SA"/>
        </w:rPr>
        <w:t>～6500株/667m</w:t>
      </w:r>
      <w:r>
        <w:rPr>
          <w:rFonts w:hint="eastAsia"/>
          <w:vertAlign w:val="superscript"/>
          <w:lang w:bidi="ar-SA"/>
        </w:rPr>
        <w:t>2</w:t>
      </w:r>
      <w:r>
        <w:rPr>
          <w:rFonts w:hint="eastAsia"/>
          <w:lang w:bidi="ar-SA"/>
        </w:rPr>
        <w:t>。</w:t>
      </w:r>
    </w:p>
    <w:p>
      <w:pPr>
        <w:pStyle w:val="10"/>
        <w:spacing w:line="400" w:lineRule="exact"/>
        <w:rPr>
          <w:rFonts w:hint="eastAsia"/>
        </w:rPr>
      </w:pPr>
      <w:r>
        <w:rPr>
          <w:rFonts w:hint="eastAsia"/>
        </w:rPr>
        <w:t>单行起垄栽培：行距6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cm～</w:t>
      </w:r>
      <w:r>
        <w:rPr>
          <w:rFonts w:hint="eastAsia"/>
          <w:lang w:val="en-US" w:eastAsia="zh-CN"/>
        </w:rPr>
        <w:t>70</w:t>
      </w:r>
      <w:r>
        <w:rPr>
          <w:rFonts w:hint="eastAsia"/>
        </w:rPr>
        <w:t>cm，株距2</w:t>
      </w:r>
      <w:r>
        <w:t>0</w:t>
      </w:r>
      <w:r>
        <w:rPr>
          <w:rFonts w:hint="eastAsia"/>
        </w:rPr>
        <w:t>cm～</w:t>
      </w:r>
      <w:r>
        <w:t>25</w:t>
      </w:r>
      <w:r>
        <w:rPr>
          <w:rFonts w:hint="eastAsia"/>
        </w:rPr>
        <w:t>cm， 4</w:t>
      </w:r>
      <w:r>
        <w:t>5</w:t>
      </w:r>
      <w:r>
        <w:rPr>
          <w:rFonts w:hint="eastAsia"/>
        </w:rPr>
        <w:t>00株/667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>～5</w:t>
      </w:r>
      <w:r>
        <w:t>5</w:t>
      </w:r>
      <w:r>
        <w:rPr>
          <w:rFonts w:hint="eastAsia"/>
        </w:rPr>
        <w:t>00株/667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>
      <w:pPr>
        <w:pStyle w:val="35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</w:rPr>
      </w:pPr>
      <w:r>
        <w:rPr>
          <w:rFonts w:hint="eastAsia"/>
          <w:lang w:val="en-US" w:eastAsia="zh-CN"/>
        </w:rPr>
        <w:t>7.4</w:t>
      </w:r>
      <w:r>
        <w:rPr>
          <w:rFonts w:hint="eastAsia"/>
        </w:rPr>
        <w:t>播种方法</w:t>
      </w:r>
    </w:p>
    <w:p>
      <w:pPr>
        <w:pStyle w:val="10"/>
        <w:spacing w:line="400" w:lineRule="exact"/>
        <w:ind w:firstLine="840" w:firstLineChars="400"/>
        <w:rPr>
          <w:rFonts w:hint="eastAsia"/>
        </w:rPr>
      </w:pPr>
      <w:r>
        <w:rPr>
          <w:rFonts w:hint="eastAsia"/>
          <w:lang w:val="en-US" w:eastAsia="zh-CN" w:bidi="ar-SA"/>
        </w:rPr>
        <w:t>田园机械</w:t>
      </w:r>
      <w:r>
        <w:rPr>
          <w:rFonts w:hint="eastAsia"/>
        </w:rPr>
        <w:t>开沟</w:t>
      </w:r>
      <w:r>
        <w:t>种植</w:t>
      </w:r>
      <w:r>
        <w:rPr>
          <w:lang w:eastAsia="zh-CN"/>
        </w:rPr>
        <w:t>。</w:t>
      </w:r>
      <w:r>
        <w:rPr>
          <w:rFonts w:hint="eastAsia"/>
        </w:rPr>
        <w:t>沟深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cm～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cm，</w:t>
      </w:r>
      <w:r>
        <w:rPr>
          <w:rFonts w:hint="eastAsia"/>
          <w:lang w:eastAsia="zh-CN"/>
        </w:rPr>
        <w:t>人工</w:t>
      </w:r>
      <w:r>
        <w:rPr>
          <w:rFonts w:hint="eastAsia"/>
        </w:rPr>
        <w:t>摆种，覆土起垄，垄</w:t>
      </w:r>
      <w:r>
        <w:rPr>
          <w:rFonts w:hint="eastAsia"/>
          <w:lang w:eastAsia="zh-CN"/>
        </w:rPr>
        <w:t>顶距离薯块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cm～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cm</w:t>
      </w:r>
      <w:r>
        <w:rPr>
          <w:rFonts w:hint="eastAsia"/>
          <w:lang w:eastAsia="zh-CN"/>
        </w:rPr>
        <w:t>，喷洒除草剂，覆盖地膜</w:t>
      </w:r>
      <w:r>
        <w:rPr>
          <w:rFonts w:hint="eastAsia"/>
        </w:rPr>
        <w:t>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7.5 铺设滴灌带、覆地膜</w:t>
      </w:r>
    </w:p>
    <w:p>
      <w:pPr>
        <w:pStyle w:val="10"/>
        <w:spacing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覆土后，将垄面挡平整，用多功能田园机将滴灌带、地膜一同覆盖在垄面上。滴灌带在垄中间，放在地膜下方。</w:t>
      </w:r>
      <w:r>
        <w:rPr>
          <w:rFonts w:ascii="Times New Roman" w:eastAsia="宋体"/>
          <w:sz w:val="24"/>
        </w:rPr>
        <w:t>铺膜时膜要拉紧，贴紧地面，薄膜边缘要埋入土里</w:t>
      </w:r>
      <w:r>
        <w:rPr>
          <w:rFonts w:hint="eastAsia" w:ascii="Times New Roman"/>
          <w:sz w:val="24"/>
          <w:lang w:val="en-US" w:eastAsia="zh-CN"/>
        </w:rPr>
        <w:t>5—7</w:t>
      </w:r>
      <w:r>
        <w:rPr>
          <w:rFonts w:ascii="Times New Roman" w:eastAsia="宋体"/>
          <w:sz w:val="24"/>
        </w:rPr>
        <w:t>cm左右，并用土埋住压严。盖膜要掌握“严、紧、平、宽”的要领，即边要压严、膜要盖紧、膜面要平、见光面要宽。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7.6 膜上覆土</w:t>
      </w:r>
    </w:p>
    <w:p>
      <w:pPr>
        <w:pStyle w:val="10"/>
        <w:spacing w:line="40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用田园机，在地膜上面覆盖一层2—3cm后的细土。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312" w:after="312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 田间管理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8.1 灌溉管理</w:t>
      </w:r>
    </w:p>
    <w:p>
      <w:pPr>
        <w:spacing w:after="0" w:line="640" w:lineRule="exact"/>
        <w:ind w:firstLine="480"/>
        <w:jc w:val="both"/>
        <w:rPr>
          <w:rFonts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足墒播种，墒情不足时，可提前造墒。播种后及时滴灌一次，并在垄上作一剖面，记录第一次滴灌水到种薯块的时间，以后每次滴灌就按这个时间。马铃薯齐苗时，第二次滴灌，以后根据马铃薯种块周边的土壤墒情进行灌溉。</w:t>
      </w:r>
      <w:r>
        <w:rPr>
          <w:rFonts w:ascii="宋体" w:hAnsi="Times New Roman" w:eastAsia="宋体" w:cs="Times New Roman"/>
          <w:kern w:val="0"/>
          <w:sz w:val="21"/>
          <w:szCs w:val="20"/>
          <w:lang w:val="en-US" w:eastAsia="zh-CN" w:bidi="ar-SA"/>
        </w:rPr>
        <w:t>马铃薯全生育期要保持80％左右的土壤含水量，其中苗期保持在70％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-</w:t>
      </w:r>
      <w:r>
        <w:rPr>
          <w:rFonts w:ascii="宋体" w:hAnsi="Times New Roman" w:eastAsia="宋体" w:cs="Times New Roman"/>
          <w:kern w:val="0"/>
          <w:sz w:val="21"/>
          <w:szCs w:val="20"/>
          <w:lang w:val="en-US" w:eastAsia="zh-CN" w:bidi="ar-SA"/>
        </w:rPr>
        <w:t>80％，块茎形成至块茎膨大阶段必须保持在80％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-</w:t>
      </w:r>
      <w:r>
        <w:rPr>
          <w:rFonts w:ascii="宋体" w:hAnsi="Times New Roman" w:eastAsia="宋体" w:cs="Times New Roman"/>
          <w:kern w:val="0"/>
          <w:sz w:val="21"/>
          <w:szCs w:val="20"/>
          <w:lang w:val="en-US" w:eastAsia="zh-CN" w:bidi="ar-SA"/>
        </w:rPr>
        <w:t>85％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，</w:t>
      </w:r>
      <w:r>
        <w:rPr>
          <w:rFonts w:ascii="宋体" w:hAnsi="Times New Roman" w:eastAsia="宋体" w:cs="Times New Roman"/>
          <w:kern w:val="0"/>
          <w:sz w:val="21"/>
          <w:szCs w:val="20"/>
          <w:lang w:val="en-US" w:eastAsia="zh-CN" w:bidi="ar-SA"/>
        </w:rPr>
        <w:t>收获前保持在65％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-</w:t>
      </w:r>
      <w:r>
        <w:rPr>
          <w:rFonts w:ascii="宋体" w:hAnsi="Times New Roman" w:eastAsia="宋体" w:cs="Times New Roman"/>
          <w:kern w:val="0"/>
          <w:sz w:val="21"/>
          <w:szCs w:val="20"/>
          <w:lang w:val="en-US" w:eastAsia="zh-CN" w:bidi="ar-SA"/>
        </w:rPr>
        <w:t>75％左右。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8.2 温度管理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420" w:firstLineChars="200"/>
        <w:jc w:val="both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拱棚内，白天温度控制在10—25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，夜间温度控制在8—12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420" w:firstLineChars="200"/>
        <w:jc w:val="both"/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二膜覆盖栽培：播种后出苗前，当棚内气温高于26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，要通风，将棚内气温控制在25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以下；出苗后，白天，棚内气温高于20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通风，通风口的大小视棚内气温决定，最高气温不超过27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，夜间，外界最低气温在5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以下时，全部盖严，外界最低气温在5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以上时，由开始的留小通风口到大通风口，棚内气温控制在8—12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，当外界最低气温稳定在10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，可撤掉棚膜。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420" w:firstLineChars="200"/>
        <w:jc w:val="both"/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三膜覆盖栽培：播种后出苗前，外膜不用通风，内二膜白天揭开，夜间室外最低温度在0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以上，不用覆盖。出苗后，内二膜白天揭开，夜间室外最低温度在2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>℃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以上，不用覆盖；外膜的通风管理，同二膜的棚膜。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8.3 追肥管理</w:t>
      </w:r>
    </w:p>
    <w:p>
      <w:pPr>
        <w:pStyle w:val="1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铃薯全生育期共追肥4次。马铃薯团棵期追施三分之一的氮肥、六分之一的钾肥，马铃薯落蕾期追施四分之一的氮肥、四分之一的钾肥，马铃薯薯块膨大期追肥2次，每次为剩余肥料的二分之一。马铃薯收获前15天停止追肥。</w:t>
      </w:r>
    </w:p>
    <w:p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马铃薯现蕾期后，随病虫害防控，叶面喷施磷酸二氢钾80g/666.7m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。</w:t>
      </w:r>
    </w:p>
    <w:p>
      <w:pPr>
        <w:pStyle w:val="10"/>
        <w:rPr>
          <w:rFonts w:hint="eastAsia"/>
          <w:color w:val="FF0000"/>
          <w:lang w:eastAsia="zh-CN"/>
        </w:rPr>
      </w:pPr>
    </w:p>
    <w:p>
      <w:pPr>
        <w:pStyle w:val="10"/>
        <w:rPr>
          <w:rFonts w:hint="eastAsia"/>
          <w:color w:val="FF0000"/>
          <w:lang w:eastAsia="zh-CN"/>
        </w:rPr>
      </w:pPr>
    </w:p>
    <w:p>
      <w:pPr>
        <w:pStyle w:val="35"/>
        <w:numPr>
          <w:ilvl w:val="0"/>
          <w:numId w:val="0"/>
        </w:numPr>
        <w:tabs>
          <w:tab w:val="clear" w:pos="0"/>
        </w:tabs>
        <w:spacing w:before="312" w:after="312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 xml:space="preserve"> 病虫害防治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9.1 防治原则</w:t>
      </w:r>
    </w:p>
    <w:p>
      <w:pPr>
        <w:pStyle w:val="1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坚持“预防为主，综合防治”的植保方针，从营造良好的田间生态系统出发，生态调控和人为干预有机结合，以农业防治为基础，以生物防治、物理防治等无害化防治为重点，以化学防治为辅助，以提高防效、节约成本、减轻为害为目标，把病虫损失控制在最小范围内。</w:t>
      </w:r>
    </w:p>
    <w:p>
      <w:pPr>
        <w:pStyle w:val="35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  <w:szCs w:val="21"/>
        </w:rPr>
      </w:pPr>
      <w:r>
        <w:rPr>
          <w:rFonts w:hint="eastAsia"/>
          <w:lang w:val="en-US" w:eastAsia="zh-CN"/>
        </w:rPr>
        <w:t>9.2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农业防治</w:t>
      </w:r>
    </w:p>
    <w:p>
      <w:pPr>
        <w:pStyle w:val="10"/>
        <w:spacing w:line="400" w:lineRule="exact"/>
        <w:rPr>
          <w:rFonts w:hint="eastAsia"/>
        </w:rPr>
      </w:pPr>
      <w:r>
        <w:t>选用脱毒种薯，严格切刀消毒；</w:t>
      </w:r>
      <w:r>
        <w:rPr>
          <w:rFonts w:hint="eastAsia"/>
          <w:lang w:eastAsia="zh-CN"/>
        </w:rPr>
        <w:t>合理灌溉；适当轮作</w:t>
      </w:r>
      <w:r>
        <w:t>。</w:t>
      </w:r>
    </w:p>
    <w:p>
      <w:pPr>
        <w:pStyle w:val="35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.2 物理防治</w:t>
      </w:r>
    </w:p>
    <w:p>
      <w:pPr>
        <w:pStyle w:val="10"/>
        <w:spacing w:line="400" w:lineRule="exact"/>
        <w:rPr>
          <w:rFonts w:hint="eastAsia"/>
        </w:rPr>
      </w:pPr>
      <w:r>
        <w:rPr>
          <w:rFonts w:cs="宋体"/>
          <w:lang w:bidi="ar"/>
        </w:rPr>
        <w:t>黄板和杀虫灯诱杀。每亩悬挂20</w:t>
      </w:r>
      <w:r>
        <w:rPr>
          <w:rFonts w:hint="eastAsia" w:cs="宋体"/>
          <w:lang w:bidi="ar"/>
        </w:rPr>
        <w:t>～</w:t>
      </w:r>
      <w:r>
        <w:rPr>
          <w:rFonts w:cs="宋体"/>
          <w:lang w:bidi="ar"/>
        </w:rPr>
        <w:t>30块黄板诱杀蚜虫、粉虱。</w:t>
      </w:r>
      <w:r>
        <w:rPr>
          <w:rFonts w:hint="eastAsia" w:cs="宋体"/>
          <w:lang w:bidi="ar"/>
        </w:rPr>
        <w:t>每2</w:t>
      </w:r>
      <w:r>
        <w:rPr>
          <w:rFonts w:hint="eastAsia"/>
        </w:rPr>
        <w:t xml:space="preserve"> hm</w:t>
      </w:r>
      <w:r>
        <w:rPr>
          <w:rFonts w:hint="eastAsia"/>
          <w:vertAlign w:val="superscript"/>
        </w:rPr>
        <w:t>2</w:t>
      </w:r>
      <w:r>
        <w:rPr>
          <w:rFonts w:hint="eastAsia" w:cs="宋体"/>
          <w:lang w:bidi="ar"/>
        </w:rPr>
        <w:t>～3</w:t>
      </w:r>
      <w:r>
        <w:rPr>
          <w:rFonts w:hint="eastAsia"/>
        </w:rPr>
        <w:t xml:space="preserve"> hm</w:t>
      </w:r>
      <w:r>
        <w:rPr>
          <w:rFonts w:hint="eastAsia"/>
          <w:vertAlign w:val="superscript"/>
        </w:rPr>
        <w:t>2</w:t>
      </w:r>
      <w:r>
        <w:rPr>
          <w:rFonts w:hint="eastAsia" w:cs="宋体"/>
          <w:lang w:bidi="ar"/>
        </w:rPr>
        <w:t>安装一台杀虫灯，诱杀甜菜夜蛾、地老虎、金针虫、蝼蛄等害虫。</w:t>
      </w:r>
    </w:p>
    <w:p>
      <w:pPr>
        <w:pStyle w:val="35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生物防治</w:t>
      </w:r>
    </w:p>
    <w:p>
      <w:pPr>
        <w:pStyle w:val="35"/>
        <w:numPr>
          <w:ilvl w:val="0"/>
          <w:numId w:val="0"/>
        </w:numPr>
        <w:tabs>
          <w:tab w:val="clear" w:pos="0"/>
        </w:tabs>
        <w:spacing w:before="156" w:after="100" w:afterAutospacing="1" w:line="400" w:lineRule="exact"/>
        <w:rPr>
          <w:rFonts w:hint="eastAsia"/>
        </w:rPr>
      </w:pPr>
      <w:r>
        <w:rPr>
          <w:rFonts w:hint="eastAsia" w:ascii="宋体" w:eastAsia="宋体"/>
          <w:kern w:val="0"/>
          <w:szCs w:val="28"/>
          <w:lang w:val="en-US" w:eastAsia="zh-CN"/>
        </w:rPr>
        <w:t>9</w:t>
      </w:r>
      <w:r>
        <w:rPr>
          <w:rFonts w:hint="eastAsia" w:ascii="宋体" w:eastAsia="宋体"/>
          <w:kern w:val="0"/>
          <w:szCs w:val="28"/>
        </w:rPr>
        <w:t>.</w:t>
      </w:r>
      <w:r>
        <w:rPr>
          <w:rFonts w:hint="eastAsia" w:ascii="宋体" w:eastAsia="宋体"/>
          <w:kern w:val="0"/>
          <w:szCs w:val="28"/>
          <w:lang w:val="en-US" w:eastAsia="zh-CN"/>
        </w:rPr>
        <w:t>3</w:t>
      </w:r>
      <w:r>
        <w:rPr>
          <w:rFonts w:hint="eastAsia" w:ascii="宋体" w:eastAsia="宋体"/>
          <w:kern w:val="0"/>
          <w:szCs w:val="28"/>
        </w:rPr>
        <w:t>.1</w:t>
      </w:r>
      <w:r>
        <w:rPr>
          <w:rFonts w:hint="eastAsia"/>
        </w:rPr>
        <w:t xml:space="preserve"> 糖醋液</w:t>
      </w:r>
    </w:p>
    <w:p>
      <w:pPr>
        <w:pStyle w:val="10"/>
        <w:spacing w:line="400" w:lineRule="exact"/>
        <w:rPr>
          <w:rFonts w:hint="eastAsia"/>
        </w:rPr>
      </w:pPr>
      <w:r>
        <w:rPr>
          <w:rFonts w:hint="eastAsia"/>
        </w:rPr>
        <w:t>4月</w:t>
      </w:r>
      <w:r>
        <w:rPr>
          <w:rFonts w:hint="eastAsia"/>
          <w:bCs/>
        </w:rPr>
        <w:t>～</w:t>
      </w:r>
      <w:r>
        <w:rPr>
          <w:rFonts w:hint="eastAsia"/>
        </w:rPr>
        <w:t>5月份，糖醋盆诱杀地老虎成虫等害虫</w:t>
      </w:r>
      <w:r>
        <w:t>。</w:t>
      </w:r>
      <w:r>
        <w:rPr>
          <w:rFonts w:hint="eastAsia"/>
        </w:rPr>
        <w:t>每200m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放一盆，每3d</w:t>
      </w:r>
      <w:r>
        <w:rPr>
          <w:rFonts w:hint="eastAsia"/>
          <w:bCs/>
        </w:rPr>
        <w:t>～</w:t>
      </w:r>
      <w:r>
        <w:rPr>
          <w:rFonts w:hint="eastAsia"/>
        </w:rPr>
        <w:t>5d换一次。糖醋液比例：糖、醋、酒、水、敌百虫晶体为6:3:1:10:0.5。</w:t>
      </w:r>
    </w:p>
    <w:p>
      <w:pPr>
        <w:pStyle w:val="36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.2 天敌</w:t>
      </w:r>
    </w:p>
    <w:p>
      <w:pPr>
        <w:pStyle w:val="10"/>
        <w:spacing w:line="400" w:lineRule="exact"/>
        <w:rPr>
          <w:rFonts w:hint="eastAsia"/>
        </w:rPr>
      </w:pPr>
      <w:r>
        <w:rPr>
          <w:rFonts w:hint="eastAsia"/>
        </w:rPr>
        <w:t>注意保护利用瓢虫等天敌。</w:t>
      </w:r>
      <w:r>
        <w:rPr>
          <w:rFonts w:hint="eastAsia" w:cs="宋体"/>
          <w:lang w:bidi="ar"/>
        </w:rPr>
        <w:t>可选用生防制剂和昆虫天敌控制病虫发生，如选用甜菜夜蛾核多角体病毒防治甜菜夜蛾，丽蚜小蜂防治烟粉虱等。</w:t>
      </w:r>
    </w:p>
    <w:p>
      <w:pPr>
        <w:pStyle w:val="35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</w:rPr>
      </w:pP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化学防治</w:t>
      </w:r>
    </w:p>
    <w:p>
      <w:pPr>
        <w:pStyle w:val="10"/>
        <w:spacing w:line="400" w:lineRule="exact"/>
        <w:rPr>
          <w:rFonts w:hint="eastAsia"/>
        </w:rPr>
      </w:pPr>
      <w:r>
        <w:rPr>
          <w:rFonts w:hint="eastAsia"/>
        </w:rPr>
        <w:t>按照NY/T 2383的规定对马铃薯病虫害进行防治，农药安全使用按NY/T</w:t>
      </w:r>
      <w:r>
        <w:t xml:space="preserve"> </w:t>
      </w:r>
      <w:r>
        <w:rPr>
          <w:rFonts w:hint="eastAsia"/>
        </w:rPr>
        <w:t>1276的规定执行。针对不同时期的主控对象和兼控对象，适期用药，严格掌握安全间隔期。交替轮换用药，每种药剂连续施用一般不超过2次，防止或减缓有害生物抗药性的产生与发展。多种病虫混合发生时，宜混合用药</w:t>
      </w:r>
      <w:r>
        <w:t>，最多不要混配3种</w:t>
      </w:r>
      <w:r>
        <w:rPr>
          <w:rFonts w:hint="eastAsia"/>
        </w:rPr>
        <w:t>。施药过程中，应当最大限度地减少对有益生物的杀伤，避免对邻近作物产生药害。</w:t>
      </w:r>
      <w:r>
        <w:t>滕州马铃薯常见病虫害及防治药剂详见附录A.1。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312" w:after="312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 收获</w:t>
      </w:r>
    </w:p>
    <w:p>
      <w:pPr>
        <w:pStyle w:val="34"/>
        <w:numPr>
          <w:ilvl w:val="0"/>
          <w:numId w:val="0"/>
        </w:numPr>
        <w:tabs>
          <w:tab w:val="clear" w:pos="0"/>
        </w:tabs>
        <w:spacing w:before="156" w:after="156" w:line="400" w:lineRule="exact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.1 收获时间</w:t>
      </w:r>
    </w:p>
    <w:p>
      <w:pPr>
        <w:pStyle w:val="10"/>
        <w:spacing w:line="400" w:lineRule="exact"/>
        <w:rPr>
          <w:rFonts w:hint="eastAsia"/>
        </w:rPr>
      </w:pPr>
      <w:r>
        <w:rPr>
          <w:lang w:val="en-US" w:eastAsia="zh-CN" w:bidi="ar-SA"/>
        </w:rPr>
        <w:t>三膜覆盖种植</w:t>
      </w:r>
      <w:r>
        <w:t>4月</w:t>
      </w:r>
      <w:r>
        <w:rPr>
          <w:rFonts w:hint="eastAsia"/>
          <w:lang w:eastAsia="zh-CN"/>
        </w:rPr>
        <w:t>中</w:t>
      </w:r>
      <w:r>
        <w:t>下旬上市，双膜覆盖种植5月上中旬上市，地膜覆盖种植5月底6月初上市</w:t>
      </w:r>
      <w:r>
        <w:rPr>
          <w:rFonts w:hint="eastAsia"/>
        </w:rPr>
        <w:t>。</w:t>
      </w:r>
    </w:p>
    <w:p>
      <w:pPr>
        <w:pStyle w:val="10"/>
        <w:spacing w:before="156" w:after="156" w:line="400" w:lineRule="exact"/>
        <w:ind w:firstLine="0" w:firstLineChars="0"/>
        <w:rPr>
          <w:rFonts w:hint="eastAsia" w:ascii="黑体" w:eastAsia="黑体" w:cs="黑体"/>
          <w:lang w:bidi="ar-SA"/>
        </w:rPr>
      </w:pPr>
      <w:r>
        <w:rPr>
          <w:rFonts w:hint="eastAsia" w:ascii="黑体" w:eastAsia="黑体" w:cs="黑体"/>
          <w:lang w:val="en-US" w:eastAsia="zh-CN" w:bidi="ar-SA"/>
        </w:rPr>
        <w:t>10</w:t>
      </w:r>
      <w:r>
        <w:rPr>
          <w:rFonts w:hint="eastAsia" w:ascii="黑体" w:eastAsia="黑体" w:cs="黑体"/>
          <w:lang w:bidi="ar-SA"/>
        </w:rPr>
        <w:t>.2 收获方法</w:t>
      </w:r>
    </w:p>
    <w:p>
      <w:pPr>
        <w:pStyle w:val="10"/>
        <w:spacing w:line="400" w:lineRule="exact"/>
      </w:pPr>
      <w:r>
        <w:rPr>
          <w:rFonts w:hint="eastAsia"/>
        </w:rPr>
        <w:t>收获避开雨天，</w:t>
      </w:r>
      <w:r>
        <w:t>同时防止暴晒。</w:t>
      </w:r>
      <w:r>
        <w:rPr>
          <w:rFonts w:hint="eastAsia"/>
        </w:rPr>
        <w:t>收获时应轻拿轻放、妥善放置，防止物理损伤以及微生物和化学物品等污染。收获后</w:t>
      </w:r>
      <w:r>
        <w:rPr>
          <w:rFonts w:hint="eastAsia"/>
          <w:lang w:eastAsia="zh-CN"/>
        </w:rPr>
        <w:t>置</w:t>
      </w:r>
      <w:r>
        <w:rPr>
          <w:rFonts w:hint="eastAsia"/>
        </w:rPr>
        <w:t>通风阴凉</w:t>
      </w:r>
      <w:r>
        <w:rPr>
          <w:rFonts w:hint="eastAsia"/>
          <w:lang w:eastAsia="zh-CN"/>
        </w:rPr>
        <w:t>处及时售卖</w:t>
      </w:r>
      <w:r>
        <w:rPr>
          <w:rFonts w:hint="eastAsia"/>
        </w:rPr>
        <w:t>。</w:t>
      </w:r>
    </w:p>
    <w:p>
      <w:pPr>
        <w:pStyle w:val="10"/>
        <w:spacing w:line="400" w:lineRule="exact"/>
      </w:pPr>
    </w:p>
    <w:p>
      <w:pPr>
        <w:pStyle w:val="10"/>
        <w:spacing w:line="400" w:lineRule="exact"/>
      </w:pPr>
    </w:p>
    <w:p>
      <w:pPr>
        <w:pStyle w:val="10"/>
        <w:spacing w:line="400" w:lineRule="exact"/>
      </w:pPr>
    </w:p>
    <w:p>
      <w:pPr>
        <w:pStyle w:val="10"/>
        <w:spacing w:line="400" w:lineRule="exact"/>
      </w:pPr>
    </w:p>
    <w:p>
      <w:pPr>
        <w:pStyle w:val="10"/>
        <w:spacing w:line="400" w:lineRule="exact"/>
      </w:pPr>
    </w:p>
    <w:p>
      <w:pPr>
        <w:pStyle w:val="10"/>
        <w:spacing w:line="400" w:lineRule="exact"/>
      </w:pPr>
    </w:p>
    <w:p>
      <w:pPr>
        <w:pStyle w:val="10"/>
        <w:spacing w:line="400" w:lineRule="exact"/>
        <w:ind w:firstLine="420" w:firstLineChars="0"/>
        <w:rPr>
          <w:rFonts w:hint="eastAsia"/>
          <w:color w:val="000000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附录A</w:t>
      </w:r>
      <w:r>
        <w:rPr>
          <w:rFonts w:hint="eastAsia" w:ascii="黑体" w:eastAsia="黑体"/>
          <w:lang w:val="en-US" w:eastAsia="zh-CN"/>
        </w:rPr>
        <w:t>,1</w:t>
      </w:r>
    </w:p>
    <w:p>
      <w:pPr>
        <w:pStyle w:val="9"/>
        <w:numPr>
          <w:ilvl w:val="0"/>
          <w:numId w:val="0"/>
        </w:numPr>
        <w:spacing w:line="400" w:lineRule="exact"/>
        <w:ind w:left="0" w:firstLine="0"/>
        <w:rPr>
          <w:szCs w:val="22"/>
        </w:rPr>
      </w:pPr>
      <w:r>
        <w:rPr>
          <w:rFonts w:hint="eastAsia"/>
          <w:szCs w:val="22"/>
        </w:rPr>
        <w:t>A.1</w:t>
      </w:r>
      <w:r>
        <w:rPr>
          <w:szCs w:val="22"/>
        </w:rPr>
        <w:t>滕州马铃薯主要病害及防治药剂</w:t>
      </w:r>
    </w:p>
    <w:tbl>
      <w:tblPr>
        <w:tblStyle w:val="13"/>
        <w:tblpPr w:leftFromText="180" w:rightFromText="180" w:vertAnchor="text" w:tblpY="1"/>
        <w:tblOverlap w:val="never"/>
        <w:tblW w:w="50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5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病虫种类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药剂推荐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3028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left"/>
            </w:pPr>
            <w:r>
              <w:t>马铃薯晚疫病</w:t>
            </w:r>
          </w:p>
          <w:p>
            <w:pPr>
              <w:pStyle w:val="10"/>
              <w:spacing w:line="400" w:lineRule="exact"/>
              <w:ind w:firstLine="0" w:firstLineChars="0"/>
              <w:jc w:val="left"/>
            </w:pPr>
            <w:r>
              <w:t>Phytophthora infestens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53%烯酰</w:t>
            </w:r>
            <w:r>
              <w:rPr>
                <w:rFonts w:hint="eastAsia"/>
              </w:rPr>
              <w:t>·</w:t>
            </w:r>
            <w:r>
              <w:t>代森联水分散粒剂 180</w:t>
            </w:r>
            <w:r>
              <w:rPr>
                <w:rFonts w:hint="eastAsia"/>
              </w:rPr>
              <w:t>～</w:t>
            </w:r>
            <w:r>
              <w:t>200克/亩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500克/升氟啶胺悬浮剂 27</w:t>
            </w:r>
            <w:r>
              <w:rPr>
                <w:rFonts w:hint="eastAsia"/>
              </w:rPr>
              <w:t>～</w:t>
            </w:r>
            <w:r>
              <w:t>33毫升/亩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24%霜脲</w:t>
            </w:r>
            <w:r>
              <w:rPr>
                <w:rFonts w:hint="eastAsia"/>
              </w:rPr>
              <w:t>·</w:t>
            </w:r>
            <w:r>
              <w:t>氰霜唑悬浮剂 50</w:t>
            </w:r>
            <w:r>
              <w:rPr>
                <w:rFonts w:hint="eastAsia"/>
              </w:rPr>
              <w:t>～</w:t>
            </w:r>
            <w:r>
              <w:t>60克/亩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80%代森锰锌可湿性粉剂 120</w:t>
            </w:r>
            <w:r>
              <w:rPr>
                <w:rFonts w:hint="eastAsia"/>
              </w:rPr>
              <w:t>～</w:t>
            </w:r>
            <w:r>
              <w:t>180克/亩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687.5克/升氟菌</w:t>
            </w:r>
            <w:r>
              <w:rPr>
                <w:rFonts w:hint="eastAsia"/>
              </w:rPr>
              <w:t>·</w:t>
            </w:r>
            <w:r>
              <w:t>霜霉威悬浮剂 75</w:t>
            </w:r>
            <w:r>
              <w:rPr>
                <w:rFonts w:hint="eastAsia"/>
              </w:rPr>
              <w:t>～</w:t>
            </w:r>
            <w:r>
              <w:t>100毫升/亩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47%烯酰</w:t>
            </w:r>
            <w:r>
              <w:rPr>
                <w:rFonts w:hint="eastAsia"/>
              </w:rPr>
              <w:t>·</w:t>
            </w:r>
            <w:r>
              <w:t>唑嘧菌悬浮剂 40</w:t>
            </w:r>
            <w:r>
              <w:rPr>
                <w:rFonts w:hint="eastAsia"/>
              </w:rPr>
              <w:t>～</w:t>
            </w:r>
            <w:r>
              <w:t>60克/亩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80%烯酰吗啉水分散粒剂 17</w:t>
            </w:r>
            <w:r>
              <w:rPr>
                <w:rFonts w:hint="eastAsia"/>
              </w:rPr>
              <w:t>～</w:t>
            </w:r>
            <w:r>
              <w:t>24克/亩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</w:pPr>
            <w:r>
              <w:t>马铃薯早疫病</w:t>
            </w:r>
          </w:p>
          <w:p>
            <w:pPr>
              <w:pStyle w:val="10"/>
              <w:spacing w:line="400" w:lineRule="exact"/>
              <w:ind w:firstLine="0" w:firstLineChars="0"/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>Alternaria sdni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500克/升氟啶胺悬浮剂 27</w:t>
            </w:r>
            <w:r>
              <w:rPr>
                <w:rFonts w:hint="eastAsia"/>
              </w:rPr>
              <w:t>～</w:t>
            </w:r>
            <w:r>
              <w:t>33毫升/亩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44%苯甲</w:t>
            </w:r>
            <w:r>
              <w:rPr>
                <w:rFonts w:hint="eastAsia"/>
              </w:rPr>
              <w:t>·</w:t>
            </w:r>
            <w:r>
              <w:t>百菌清悬浮剂 120</w:t>
            </w:r>
            <w:r>
              <w:rPr>
                <w:rFonts w:hint="eastAsia"/>
              </w:rPr>
              <w:t>～</w:t>
            </w:r>
            <w:r>
              <w:t>160克/亩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42.4%唑醚</w:t>
            </w:r>
            <w:r>
              <w:rPr>
                <w:rFonts w:hint="eastAsia"/>
              </w:rPr>
              <w:t>·</w:t>
            </w:r>
            <w:r>
              <w:t>氟酰胺悬浮剂 10</w:t>
            </w:r>
            <w:r>
              <w:rPr>
                <w:rFonts w:hint="eastAsia"/>
              </w:rPr>
              <w:t>～</w:t>
            </w:r>
            <w:r>
              <w:t>20克/亩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400克/升氯氟醚</w:t>
            </w:r>
            <w:r>
              <w:rPr>
                <w:rFonts w:hint="eastAsia"/>
              </w:rPr>
              <w:t>·</w:t>
            </w:r>
            <w:r>
              <w:t>吡唑酯悬浮剂 20</w:t>
            </w:r>
            <w:r>
              <w:rPr>
                <w:rFonts w:hint="eastAsia"/>
              </w:rPr>
              <w:t>～</w:t>
            </w:r>
            <w:r>
              <w:t>40毫升/亩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200克/升氟酰羟</w:t>
            </w:r>
            <w:r>
              <w:rPr>
                <w:rFonts w:hint="eastAsia"/>
              </w:rPr>
              <w:t>·</w:t>
            </w:r>
            <w:r>
              <w:t>苯甲唑悬浮剂  20</w:t>
            </w:r>
            <w:r>
              <w:rPr>
                <w:rFonts w:hint="eastAsia"/>
              </w:rPr>
              <w:t>～</w:t>
            </w:r>
            <w:r>
              <w:t>40毫升/亩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400克/升氯氟醚菌唑悬浮剂 15</w:t>
            </w:r>
            <w:r>
              <w:rPr>
                <w:rFonts w:hint="eastAsia"/>
              </w:rPr>
              <w:t>～</w:t>
            </w:r>
            <w:r>
              <w:t>25毫升/亩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</w:pPr>
            <w:r>
              <w:t>马铃薯黑痣病</w:t>
            </w:r>
          </w:p>
          <w:p>
            <w:pPr>
              <w:pStyle w:val="10"/>
              <w:spacing w:line="400" w:lineRule="exact"/>
              <w:ind w:firstLine="0" w:firstLineChars="0"/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>Thanatephorus cucumeris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60%氟胺</w:t>
            </w:r>
            <w:r>
              <w:rPr>
                <w:rFonts w:hint="eastAsia"/>
              </w:rPr>
              <w:t>·</w:t>
            </w:r>
            <w:r>
              <w:t>嘧菌酯水分散粒剂 45</w:t>
            </w:r>
            <w:r>
              <w:rPr>
                <w:rFonts w:hint="eastAsia"/>
              </w:rPr>
              <w:t>～</w:t>
            </w:r>
            <w:r>
              <w:t>60克/亩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42.4%唑醚</w:t>
            </w:r>
            <w:r>
              <w:rPr>
                <w:rFonts w:hint="eastAsia"/>
              </w:rPr>
              <w:t>·</w:t>
            </w:r>
            <w:r>
              <w:t>氟酰胺悬浮剂 10</w:t>
            </w:r>
            <w:r>
              <w:rPr>
                <w:rFonts w:hint="eastAsia"/>
              </w:rPr>
              <w:t>～</w:t>
            </w:r>
            <w:r>
              <w:t>20克/亩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240克/升噻呋酰胺悬浮剂 70</w:t>
            </w:r>
            <w:r>
              <w:rPr>
                <w:rFonts w:hint="eastAsia"/>
              </w:rPr>
              <w:t>～</w:t>
            </w:r>
            <w:r>
              <w:t>120毫升/亩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250克/升嘧菌酯悬浮剂 36</w:t>
            </w:r>
            <w:r>
              <w:rPr>
                <w:rFonts w:hint="eastAsia"/>
              </w:rPr>
              <w:t>～</w:t>
            </w:r>
            <w:r>
              <w:t xml:space="preserve">60毫升/亩 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325克/升苯甲</w:t>
            </w:r>
            <w:r>
              <w:rPr>
                <w:rFonts w:hint="eastAsia"/>
              </w:rPr>
              <w:t>·</w:t>
            </w:r>
            <w:r>
              <w:t>嘧菌酯杀菌剂 70</w:t>
            </w:r>
            <w:r>
              <w:rPr>
                <w:rFonts w:hint="eastAsia"/>
              </w:rPr>
              <w:t>～</w:t>
            </w:r>
            <w:r>
              <w:t>110毫升/亩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top"/>
          </w:tcPr>
          <w:p>
            <w:pPr>
              <w:pStyle w:val="10"/>
              <w:spacing w:line="400" w:lineRule="exact"/>
              <w:ind w:firstLine="0" w:firstLineChars="0"/>
            </w:pPr>
            <w:r>
              <w:t>马铃薯疮痂病</w:t>
            </w:r>
          </w:p>
          <w:p>
            <w:pPr>
              <w:pStyle w:val="10"/>
              <w:spacing w:line="400" w:lineRule="exact"/>
              <w:ind w:firstLine="0" w:firstLineChars="0"/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>Streptomyces scabies</w:t>
            </w:r>
            <w:r>
              <w:rPr>
                <w:rFonts w:hint="eastAsia" w:ascii="仿宋_GB2312" w:eastAsia="仿宋_GB2312"/>
                <w:w w:val="100"/>
                <w:sz w:val="21"/>
              </w:rPr>
              <w:t xml:space="preserve"> 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10亿CFU/克解淀粉芽孢杆菌QST713悬浮剂 350</w:t>
            </w:r>
            <w:r>
              <w:rPr>
                <w:rFonts w:hint="eastAsia"/>
              </w:rPr>
              <w:t>～</w:t>
            </w:r>
            <w:r>
              <w:t>500克/亩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</w:pPr>
            <w:r>
              <w:t>马铃薯黄萎病</w:t>
            </w:r>
          </w:p>
          <w:p>
            <w:pPr>
              <w:pStyle w:val="10"/>
              <w:spacing w:line="400" w:lineRule="exact"/>
              <w:ind w:firstLine="0" w:firstLineChars="0"/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>Verticillium dahliae</w:t>
            </w:r>
            <w:r>
              <w:rPr>
                <w:rFonts w:hint="eastAsia" w:ascii="仿宋_GB2312" w:eastAsia="仿宋_GB2312"/>
                <w:w w:val="100"/>
                <w:sz w:val="21"/>
              </w:rPr>
              <w:t xml:space="preserve"> 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1000亿活芽孢/克枯草芽孢杆菌可湿性粉剂 20</w:t>
            </w:r>
            <w:r>
              <w:rPr>
                <w:rFonts w:hint="eastAsia"/>
              </w:rPr>
              <w:t>～</w:t>
            </w:r>
            <w:r>
              <w:t>30克/亩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10亿芽孢/克解淀粉芽孢杆菌B7900可湿性粉剂 100</w:t>
            </w:r>
            <w:r>
              <w:rPr>
                <w:rFonts w:hint="eastAsia"/>
              </w:rPr>
              <w:t>～</w:t>
            </w:r>
            <w:r>
              <w:t xml:space="preserve">125克/亩 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36%三氯异氰尿酸可湿性粉剂  80</w:t>
            </w:r>
            <w:r>
              <w:rPr>
                <w:rFonts w:hint="eastAsia"/>
              </w:rPr>
              <w:t>～</w:t>
            </w:r>
            <w:r>
              <w:t>100克/亩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0.5%氨基寡糖素水剂  140</w:t>
            </w:r>
            <w:r>
              <w:rPr>
                <w:rFonts w:hint="eastAsia"/>
              </w:rPr>
              <w:t>～</w:t>
            </w:r>
            <w:r>
              <w:t>185克/亩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</w:pPr>
            <w:r>
              <w:t>马铃薯青枯病</w:t>
            </w:r>
          </w:p>
          <w:p>
            <w:pPr>
              <w:pStyle w:val="10"/>
              <w:spacing w:line="400" w:lineRule="exact"/>
              <w:ind w:firstLine="0" w:firstLineChars="0"/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>Psendomonas solanacearum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3%中生菌素可湿性粉剂 600</w:t>
            </w:r>
            <w:r>
              <w:rPr>
                <w:rFonts w:hint="eastAsia"/>
              </w:rPr>
              <w:t>～</w:t>
            </w:r>
            <w:r>
              <w:t>800倍液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20%噻森铜悬浮剂 300</w:t>
            </w:r>
            <w:r>
              <w:rPr>
                <w:rFonts w:hint="eastAsia"/>
              </w:rPr>
              <w:t>～</w:t>
            </w:r>
            <w:r>
              <w:t>500倍液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40%春雷</w:t>
            </w:r>
            <w:r>
              <w:rPr>
                <w:rFonts w:hint="eastAsia"/>
              </w:rPr>
              <w:t>·</w:t>
            </w:r>
            <w:r>
              <w:t>噻唑锌悬浮剂 80</w:t>
            </w:r>
            <w:r>
              <w:rPr>
                <w:rFonts w:hint="eastAsia"/>
              </w:rPr>
              <w:t>～</w:t>
            </w:r>
            <w:r>
              <w:t>100克/亩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top"/>
          </w:tcPr>
          <w:p>
            <w:pPr>
              <w:pStyle w:val="10"/>
              <w:spacing w:line="400" w:lineRule="exact"/>
              <w:ind w:firstLine="0" w:firstLineChars="0"/>
            </w:pPr>
            <w:r>
              <w:t>马铃薯黑胫病</w:t>
            </w:r>
          </w:p>
          <w:p>
            <w:pPr>
              <w:pStyle w:val="10"/>
              <w:spacing w:line="400" w:lineRule="exact"/>
              <w:ind w:firstLine="0" w:firstLineChars="0"/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>Erwinia atroseptica</w:t>
            </w:r>
            <w:r>
              <w:rPr>
                <w:rFonts w:hint="eastAsia" w:ascii="仿宋_GB2312" w:eastAsia="仿宋_GB2312"/>
                <w:w w:val="100"/>
                <w:sz w:val="21"/>
              </w:rPr>
              <w:t>(Hall.)Jennison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6%春雷霉素可湿性粉剂 37</w:t>
            </w:r>
            <w:r>
              <w:rPr>
                <w:rFonts w:hint="eastAsia"/>
              </w:rPr>
              <w:t>～</w:t>
            </w:r>
            <w:r>
              <w:t>47克/亩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12%噻霉酮水分散粒剂 15</w:t>
            </w:r>
            <w:r>
              <w:rPr>
                <w:rFonts w:hint="eastAsia"/>
              </w:rPr>
              <w:t>～</w:t>
            </w:r>
            <w:r>
              <w:t>25克/亩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20%噻菌铜悬浮剂 100</w:t>
            </w:r>
            <w:r>
              <w:rPr>
                <w:rFonts w:hint="eastAsia"/>
              </w:rPr>
              <w:t>～</w:t>
            </w:r>
            <w:r>
              <w:t>125克/亩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</w:pPr>
            <w:r>
              <w:t>蚜虫</w:t>
            </w:r>
          </w:p>
          <w:p>
            <w:pPr>
              <w:pStyle w:val="10"/>
              <w:spacing w:line="400" w:lineRule="exact"/>
              <w:ind w:firstLine="0" w:firstLineChars="0"/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 xml:space="preserve">Acyrthosiphon solani 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22%螺虫</w:t>
            </w:r>
            <w:r>
              <w:rPr>
                <w:rFonts w:hint="eastAsia"/>
              </w:rPr>
              <w:t>·</w:t>
            </w:r>
            <w:r>
              <w:t>噻虫啉悬浮剂 20</w:t>
            </w:r>
            <w:r>
              <w:rPr>
                <w:rFonts w:hint="eastAsia"/>
              </w:rPr>
              <w:t>～</w:t>
            </w:r>
            <w:r>
              <w:t>40克/亩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50%吡蚜酮水分散粒剂 20</w:t>
            </w:r>
            <w:r>
              <w:rPr>
                <w:rFonts w:hint="eastAsia"/>
              </w:rPr>
              <w:t>～</w:t>
            </w:r>
            <w:r>
              <w:t>30克/亩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10%氟啶虫酰胺水分散粒剂 35</w:t>
            </w:r>
            <w:r>
              <w:rPr>
                <w:rFonts w:hint="eastAsia"/>
              </w:rPr>
              <w:t>～</w:t>
            </w:r>
            <w:r>
              <w:t>50克/亩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50克/升双丙环虫酯可分散液剂 10</w:t>
            </w:r>
            <w:r>
              <w:rPr>
                <w:rFonts w:hint="eastAsia"/>
              </w:rPr>
              <w:t>～</w:t>
            </w:r>
            <w:r>
              <w:t>16毫升/亩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17%氟吡呋喃酮可溶液剂 30</w:t>
            </w:r>
            <w:r>
              <w:rPr>
                <w:rFonts w:hint="eastAsia"/>
              </w:rPr>
              <w:t>～</w:t>
            </w:r>
            <w:r>
              <w:t>50克/亩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</w:pPr>
            <w:r>
              <w:t>烟粉虱</w:t>
            </w:r>
          </w:p>
          <w:p>
            <w:pPr>
              <w:pStyle w:val="10"/>
              <w:spacing w:line="400" w:lineRule="exact"/>
              <w:ind w:firstLine="0" w:firstLineChars="0"/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>Bemisia tabaci</w:t>
            </w:r>
            <w:r>
              <w:rPr>
                <w:rFonts w:hint="eastAsia" w:ascii="仿宋_GB2312" w:eastAsia="仿宋_GB2312"/>
                <w:w w:val="100"/>
                <w:sz w:val="21"/>
              </w:rPr>
              <w:t xml:space="preserve"> (Gennadius)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50%噻虫胺水分散粒剂 6</w:t>
            </w:r>
            <w:r>
              <w:rPr>
                <w:rFonts w:hint="eastAsia"/>
              </w:rPr>
              <w:t>～</w:t>
            </w:r>
            <w:r>
              <w:t>8克/亩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22%螺虫</w:t>
            </w:r>
            <w:r>
              <w:rPr>
                <w:rFonts w:hint="eastAsia"/>
              </w:rPr>
              <w:t>·</w:t>
            </w:r>
            <w:r>
              <w:t>噻虫啉悬浮剂 30</w:t>
            </w:r>
            <w:r>
              <w:rPr>
                <w:rFonts w:hint="eastAsia"/>
              </w:rPr>
              <w:t>～</w:t>
            </w:r>
            <w:r>
              <w:t>40克/亩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22.4%螺虫乙酯悬浮剂 20</w:t>
            </w:r>
            <w:r>
              <w:rPr>
                <w:rFonts w:hint="eastAsia"/>
              </w:rPr>
              <w:t>～</w:t>
            </w:r>
            <w:r>
              <w:t>30克/亩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480克/升丁醚脲</w:t>
            </w:r>
            <w:r>
              <w:rPr>
                <w:rFonts w:hint="eastAsia"/>
              </w:rPr>
              <w:t>·</w:t>
            </w:r>
            <w:r>
              <w:t>溴氰虫酰胺悬浮剂 30</w:t>
            </w:r>
            <w:r>
              <w:rPr>
                <w:rFonts w:hint="eastAsia"/>
              </w:rPr>
              <w:t>～</w:t>
            </w:r>
            <w:r>
              <w:t>60毫升/亩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top"/>
          </w:tcPr>
          <w:p>
            <w:pPr>
              <w:pStyle w:val="10"/>
              <w:spacing w:line="400" w:lineRule="exact"/>
              <w:ind w:firstLine="0" w:firstLineChars="0"/>
            </w:pPr>
            <w:r>
              <w:t>茶黄螨</w:t>
            </w:r>
          </w:p>
          <w:p>
            <w:pPr>
              <w:pStyle w:val="10"/>
              <w:spacing w:line="400" w:lineRule="exact"/>
              <w:ind w:firstLine="0" w:firstLineChars="0"/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>Polyphagotarsonemus latus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43%联苯肼酯悬浮剂 20</w:t>
            </w:r>
            <w:r>
              <w:rPr>
                <w:rFonts w:hint="eastAsia"/>
              </w:rPr>
              <w:t>～</w:t>
            </w:r>
            <w:r>
              <w:t>30克/亩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240克/升虫螨腈悬浮剂 20</w:t>
            </w:r>
            <w:r>
              <w:rPr>
                <w:rFonts w:hint="eastAsia"/>
              </w:rPr>
              <w:t>～</w:t>
            </w:r>
            <w:r>
              <w:t>30克/亩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20%丁氟螨酯悬浮剂 30</w:t>
            </w:r>
            <w:r>
              <w:rPr>
                <w:rFonts w:hint="eastAsia"/>
              </w:rPr>
              <w:t>～</w:t>
            </w:r>
            <w:r>
              <w:t>37.5毫升/亩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73%</w:t>
            </w:r>
            <w:r>
              <w:rPr>
                <w:rFonts w:hint="default" w:ascii="Helvetica" w:hAnsi="Helvetica"/>
                <w:color w:val="5E5E5E"/>
                <w:spacing w:val="0"/>
                <w:sz w:val="18"/>
                <w:szCs w:val="18"/>
                <w:shd w:val="clear" w:color="auto" w:fill="FFFFFF"/>
              </w:rPr>
              <w:t>炔螨特</w:t>
            </w:r>
            <w:r>
              <w:rPr>
                <w:rFonts w:ascii="Helvetica" w:hAnsi="Helvetica"/>
                <w:color w:val="5E5E5E"/>
                <w:spacing w:val="0"/>
                <w:sz w:val="18"/>
                <w:szCs w:val="18"/>
                <w:shd w:val="clear" w:color="auto" w:fill="FFFFFF"/>
              </w:rPr>
              <w:t>乳油</w:t>
            </w:r>
            <w:r>
              <w:rPr>
                <w:rFonts w:ascii="Times New Roman" w:hAnsi="Times New Roman"/>
                <w:color w:val="5E5E5E"/>
                <w:spacing w:val="0"/>
                <w:sz w:val="18"/>
                <w:szCs w:val="18"/>
                <w:shd w:val="clear" w:color="auto" w:fill="FFFFFF"/>
              </w:rPr>
              <w:t xml:space="preserve"> 25</w:t>
            </w:r>
            <w:r>
              <w:rPr>
                <w:rFonts w:hint="eastAsia"/>
              </w:rPr>
              <w:t>～</w:t>
            </w:r>
            <w:r>
              <w:t>35克/亩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top"/>
          </w:tcPr>
          <w:p>
            <w:pPr>
              <w:pStyle w:val="10"/>
              <w:spacing w:line="400" w:lineRule="exact"/>
              <w:ind w:firstLine="0" w:firstLineChars="0"/>
              <w:rPr>
                <w:rFonts w:hint="eastAsia" w:ascii="仿宋_GB2312" w:eastAsia="仿宋_GB2312"/>
                <w:i/>
                <w:w w:val="100"/>
                <w:sz w:val="21"/>
              </w:rPr>
            </w:pPr>
            <w:r>
              <w:t>甜菜夜蛾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>Laphygma exigua</w:t>
            </w:r>
            <w:r>
              <w:rPr>
                <w:rFonts w:hint="eastAsia" w:ascii="仿宋_GB2312" w:eastAsia="仿宋_GB2312"/>
                <w:w w:val="100"/>
                <w:sz w:val="21"/>
              </w:rPr>
              <w:t xml:space="preserve"> Hubner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10%虫螨腈悬浮剂 33</w:t>
            </w:r>
            <w:r>
              <w:rPr>
                <w:rFonts w:hint="eastAsia"/>
              </w:rPr>
              <w:t>～</w:t>
            </w:r>
            <w:r>
              <w:t>50克/亩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3%甲维</w:t>
            </w:r>
            <w:r>
              <w:rPr>
                <w:rFonts w:hint="eastAsia"/>
              </w:rPr>
              <w:t>·</w:t>
            </w:r>
            <w:r>
              <w:t>高氯氟水乳剂 20</w:t>
            </w:r>
            <w:r>
              <w:rPr>
                <w:rFonts w:hint="eastAsia"/>
              </w:rPr>
              <w:t>～</w:t>
            </w:r>
            <w:r>
              <w:t>25克/亩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30%唑虫酰胺</w:t>
            </w:r>
            <w:r>
              <w:rPr>
                <w:rFonts w:hint="eastAsia"/>
              </w:rPr>
              <w:t>·</w:t>
            </w:r>
            <w:r>
              <w:t>虱螨脲悬浮剂 12</w:t>
            </w:r>
            <w:r>
              <w:rPr>
                <w:rFonts w:hint="eastAsia"/>
              </w:rPr>
              <w:t>～</w:t>
            </w:r>
            <w:r>
              <w:t>20克/亩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24%虫酰肼悬浮剂 50</w:t>
            </w:r>
            <w:r>
              <w:rPr>
                <w:rFonts w:hint="eastAsia"/>
              </w:rPr>
              <w:t>～</w:t>
            </w:r>
            <w:r>
              <w:t>60克/亩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50克/升氟啶脲乳油 40</w:t>
            </w:r>
            <w:r>
              <w:rPr>
                <w:rFonts w:hint="eastAsia"/>
              </w:rPr>
              <w:t>～</w:t>
            </w:r>
            <w:r>
              <w:t>80克/亩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 w:val="0"/>
            <w:vAlign w:val="top"/>
          </w:tcPr>
          <w:p>
            <w:pPr>
              <w:pStyle w:val="10"/>
              <w:spacing w:line="400" w:lineRule="exact"/>
              <w:ind w:firstLine="0" w:firstLineChars="0"/>
            </w:pPr>
            <w:r>
              <w:t>地下害虫</w:t>
            </w:r>
          </w:p>
          <w:p>
            <w:pPr>
              <w:pStyle w:val="10"/>
              <w:spacing w:line="400" w:lineRule="exact"/>
              <w:ind w:firstLine="0" w:firstLineChars="0"/>
              <w:rPr>
                <w:rFonts w:hint="eastAsia" w:ascii="仿宋_GB2312" w:eastAsia="仿宋_GB2312"/>
                <w:i/>
                <w:w w:val="100"/>
                <w:sz w:val="21"/>
              </w:rPr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 xml:space="preserve">Holotrichia parallela </w:t>
            </w:r>
          </w:p>
          <w:p>
            <w:pPr>
              <w:pStyle w:val="10"/>
              <w:spacing w:line="400" w:lineRule="exact"/>
              <w:ind w:firstLine="0" w:firstLineChars="0"/>
            </w:pPr>
            <w:r>
              <w:rPr>
                <w:rFonts w:hint="eastAsia" w:ascii="仿宋_GB2312" w:eastAsia="仿宋_GB2312"/>
                <w:i/>
                <w:w w:val="100"/>
                <w:sz w:val="21"/>
              </w:rPr>
              <w:t xml:space="preserve">Agrotis segetum 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3%辛硫磷颗粒剂 3000</w:t>
            </w:r>
            <w:r>
              <w:rPr>
                <w:rFonts w:hint="eastAsia"/>
              </w:rPr>
              <w:t>～</w:t>
            </w:r>
            <w:r>
              <w:t>4000克/亩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5%二嗪磷颗粒剂 800</w:t>
            </w:r>
            <w:r>
              <w:rPr>
                <w:rFonts w:hint="eastAsia"/>
              </w:rPr>
              <w:t>～</w:t>
            </w:r>
            <w:r>
              <w:t>2400克/亩</w:t>
            </w:r>
          </w:p>
          <w:p>
            <w:pPr>
              <w:pStyle w:val="10"/>
              <w:spacing w:line="400" w:lineRule="exact"/>
              <w:ind w:firstLine="0" w:firstLineChars="0"/>
              <w:jc w:val="center"/>
            </w:pPr>
            <w:r>
              <w:t>5%吡虫啉颗粒剂 500</w:t>
            </w:r>
            <w:r>
              <w:rPr>
                <w:rFonts w:hint="eastAsia"/>
              </w:rPr>
              <w:t>～</w:t>
            </w:r>
            <w:r>
              <w:t>1000克/亩</w:t>
            </w:r>
          </w:p>
        </w:tc>
      </w:tr>
    </w:tbl>
    <w:p>
      <w:pPr>
        <w:pStyle w:val="9"/>
        <w:numPr>
          <w:ilvl w:val="0"/>
          <w:numId w:val="0"/>
        </w:numPr>
        <w:spacing w:line="400" w:lineRule="exact"/>
        <w:ind w:left="0" w:firstLine="0"/>
        <w:jc w:val="center"/>
        <w:rPr>
          <w:rFonts w:hint="eastAsia" w:ascii="黑体" w:eastAsia="黑体" w:cs="宋体"/>
          <w:sz w:val="21"/>
          <w:szCs w:val="22"/>
          <w:lang w:bidi="ar-SA"/>
        </w:rPr>
      </w:pPr>
    </w:p>
    <w:p>
      <w:pPr>
        <w:pStyle w:val="9"/>
        <w:numPr>
          <w:ilvl w:val="0"/>
          <w:numId w:val="0"/>
        </w:numPr>
        <w:spacing w:line="400" w:lineRule="exact"/>
        <w:ind w:left="0" w:firstLine="0"/>
        <w:jc w:val="center"/>
        <w:rPr>
          <w:rFonts w:hint="eastAsia" w:ascii="黑体" w:eastAsia="黑体" w:cs="宋体"/>
          <w:sz w:val="21"/>
          <w:szCs w:val="22"/>
          <w:lang w:bidi="ar-SA"/>
        </w:rPr>
      </w:pPr>
    </w:p>
    <w:p>
      <w:pPr>
        <w:pStyle w:val="9"/>
        <w:numPr>
          <w:ilvl w:val="0"/>
          <w:numId w:val="0"/>
        </w:numPr>
        <w:spacing w:line="400" w:lineRule="exact"/>
        <w:ind w:left="0" w:firstLine="0"/>
        <w:jc w:val="center"/>
        <w:rPr>
          <w:rFonts w:hint="eastAsia" w:ascii="黑体" w:eastAsia="黑体" w:cs="宋体"/>
          <w:sz w:val="21"/>
          <w:szCs w:val="22"/>
          <w:lang w:bidi="ar-SA"/>
        </w:rPr>
      </w:pPr>
    </w:p>
    <w:p>
      <w:pPr>
        <w:pStyle w:val="32"/>
        <w:numPr>
          <w:ilvl w:val="0"/>
          <w:numId w:val="0"/>
        </w:numPr>
        <w:tabs>
          <w:tab w:val="clear" w:pos="0"/>
        </w:tabs>
        <w:spacing w:line="400" w:lineRule="exact"/>
        <w:ind w:left="0" w:firstLine="0"/>
      </w:pPr>
    </w:p>
    <w:p/>
    <w:sectPr>
      <w:pgSz w:w="11906" w:h="16838"/>
      <w:pgMar w:top="1689" w:right="1610" w:bottom="1689" w:left="1610" w:header="1418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rPr>
        <w:rFonts w:hint="default" w:eastAsia="黑体"/>
        <w:lang w:val="en-US" w:eastAsia="zh-CN"/>
      </w:rPr>
    </w:pPr>
    <w:r>
      <w:t>DB</w:t>
    </w:r>
    <w:r>
      <w:rPr>
        <w:rFonts w:hint="eastAsia"/>
      </w:rPr>
      <w:t>3704</w:t>
    </w:r>
    <w:r>
      <w:t>/</w:t>
    </w:r>
    <w:r>
      <w:rPr>
        <w:rFonts w:hint="eastAsia"/>
        <w:lang w:val="en-US" w:eastAsia="zh-CN"/>
      </w:rPr>
      <w:t>XXXX</w:t>
    </w:r>
    <w:r>
      <w:t>—</w:t>
    </w:r>
    <w:r>
      <w:rPr>
        <w:rFonts w:hint="eastAsia"/>
      </w:rPr>
      <w:t>20</w:t>
    </w:r>
    <w:r>
      <w:rPr>
        <w:rFonts w:hint="eastAsia"/>
        <w:lang w:val="en-US" w:eastAsia="zh-CN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51910"/>
    <w:multiLevelType w:val="multilevel"/>
    <w:tmpl w:val="84451910"/>
    <w:lvl w:ilvl="0" w:tentative="0">
      <w:start w:val="1"/>
      <w:numFmt w:val="decimal"/>
      <w:pStyle w:val="32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7"/>
      <w:suff w:val="nothing"/>
      <w:lvlText w:val="%1.%2.%3.%4　"/>
      <w:lvlJc w:val="left"/>
      <w:pPr>
        <w:tabs>
          <w:tab w:val="left" w:pos="0"/>
        </w:tabs>
        <w:ind w:left="1365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pStyle w:val="6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pStyle w:val="5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9AE1F31E"/>
    <w:multiLevelType w:val="multilevel"/>
    <w:tmpl w:val="9AE1F31E"/>
    <w:lvl w:ilvl="0" w:tentative="0">
      <w:start w:val="1"/>
      <w:numFmt w:val="decimal"/>
      <w:pStyle w:val="34"/>
      <w:suff w:val="nothing"/>
      <w:lvlText w:val="%1 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pStyle w:val="33"/>
      <w:suff w:val="nothing"/>
      <w:lvlText w:val="%1.%2 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pStyle w:val="35"/>
      <w:suff w:val="nothing"/>
      <w:lvlText w:val="%1.%2.%3 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36"/>
      <w:suff w:val="nothing"/>
      <w:lvlText w:val="%1.%2.%3.%4 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Y2FmMDI4YzY4NGJiNzE3YTVmNDRlNmMzMWJhY2MifQ=="/>
  </w:docVars>
  <w:rsids>
    <w:rsidRoot w:val="370407A0"/>
    <w:rsid w:val="2ABA35F6"/>
    <w:rsid w:val="3704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iPriority w:val="0"/>
    <w:pPr>
      <w:widowControl w:val="0"/>
      <w:tabs>
        <w:tab w:val="right" w:leader="dot" w:pos="9242"/>
      </w:tabs>
      <w:spacing w:before="25" w:beforeLines="25" w:after="25" w:afterLines="25"/>
      <w:jc w:val="left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annotation text"/>
    <w:basedOn w:val="1"/>
    <w:next w:val="4"/>
    <w:uiPriority w:val="0"/>
    <w:pPr>
      <w:jc w:val="left"/>
    </w:pPr>
  </w:style>
  <w:style w:type="paragraph" w:customStyle="1" w:styleId="4">
    <w:name w:val="五级无"/>
    <w:basedOn w:val="5"/>
    <w:uiPriority w:val="0"/>
    <w:pPr>
      <w:tabs>
        <w:tab w:val="left" w:pos="0"/>
      </w:tabs>
      <w:spacing w:before="0" w:after="0"/>
    </w:pPr>
    <w:rPr>
      <w:rFonts w:ascii="宋体" w:eastAsia="宋体"/>
    </w:rPr>
  </w:style>
  <w:style w:type="paragraph" w:customStyle="1" w:styleId="5">
    <w:name w:val="五级条标题"/>
    <w:basedOn w:val="6"/>
    <w:next w:val="10"/>
    <w:uiPriority w:val="0"/>
    <w:pPr>
      <w:numPr>
        <w:ilvl w:val="5"/>
        <w:numId w:val="1"/>
      </w:numPr>
      <w:outlineLvl w:val="6"/>
    </w:pPr>
  </w:style>
  <w:style w:type="paragraph" w:customStyle="1" w:styleId="6">
    <w:name w:val="四级条标题"/>
    <w:basedOn w:val="7"/>
    <w:next w:val="10"/>
    <w:uiPriority w:val="0"/>
    <w:pPr>
      <w:numPr>
        <w:ilvl w:val="4"/>
        <w:numId w:val="1"/>
      </w:numPr>
      <w:outlineLvl w:val="5"/>
    </w:pPr>
  </w:style>
  <w:style w:type="paragraph" w:customStyle="1" w:styleId="7">
    <w:name w:val="三级条标题"/>
    <w:basedOn w:val="8"/>
    <w:next w:val="10"/>
    <w:qFormat/>
    <w:uiPriority w:val="0"/>
    <w:pPr>
      <w:numPr>
        <w:ilvl w:val="3"/>
        <w:numId w:val="1"/>
      </w:numPr>
      <w:outlineLvl w:val="4"/>
    </w:pPr>
  </w:style>
  <w:style w:type="paragraph" w:customStyle="1" w:styleId="8">
    <w:name w:val="二级条标题"/>
    <w:basedOn w:val="9"/>
    <w:next w:val="10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9">
    <w:name w:val="一级条标题"/>
    <w:next w:val="10"/>
    <w:uiPriority w:val="0"/>
    <w:pPr>
      <w:numPr>
        <w:ilvl w:val="1"/>
        <w:numId w:val="1"/>
      </w:numPr>
      <w:spacing w:before="50" w:after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5">
    <w:name w:val="文献分类号"/>
    <w:uiPriority w:val="0"/>
    <w:pPr>
      <w:framePr w:wrap="around" w:vAnchor="margin" w:hAnchor="margin" w:y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其他标准标志"/>
    <w:basedOn w:val="17"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7">
    <w:name w:val="标准标志"/>
    <w:next w:val="1"/>
    <w:uiPriority w:val="0"/>
    <w:pPr>
      <w:framePr w:w="2546" w:hSpace="181" w:vSpace="181" w:wrap="around" w:vAnchor="margin" w:hAnchor="margin" w:x="6522" w:y="398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8">
    <w:name w:val="其他标准称谓"/>
    <w:next w:val="1"/>
    <w:uiPriority w:val="0"/>
    <w:pPr>
      <w:framePr w:wrap="around" w:vAnchor="page" w:hAnchor="page" w:x="1419" w:y="2286"/>
      <w:spacing w:line="0" w:lineRule="atLeast"/>
      <w:jc w:val="distribute"/>
    </w:pPr>
    <w:rPr>
      <w:rFonts w:ascii="黑体" w:hAnsi="Times New Roman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9">
    <w:name w:val="封面标准号2"/>
    <w:uiPriority w:val="0"/>
    <w:pPr>
      <w:framePr w:w="9140" w:hSpace="284" w:wrap="around" w:vAnchor="page" w:hAnchor="page" w:x="1645" w:y="2910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0">
    <w:name w:val="封面标准名称"/>
    <w:uiPriority w:val="0"/>
    <w:pPr>
      <w:framePr w:w="9639" w:wrap="around" w:vAnchor="page" w:hAnchor="page" w:xAlign="center" w:y="6408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1">
    <w:name w:val="封面标准英文名称"/>
    <w:basedOn w:val="20"/>
    <w:uiPriority w:val="0"/>
    <w:pPr>
      <w:framePr w:wrap="around"/>
      <w:spacing w:before="370" w:line="400" w:lineRule="exact"/>
    </w:pPr>
    <w:rPr>
      <w:rFonts w:ascii="Times New Roman" w:hAnsi="Times New Roman"/>
      <w:sz w:val="28"/>
      <w:szCs w:val="28"/>
    </w:rPr>
  </w:style>
  <w:style w:type="paragraph" w:customStyle="1" w:styleId="22">
    <w:name w:val="封面一致性程度标识"/>
    <w:basedOn w:val="21"/>
    <w:uiPriority w:val="0"/>
    <w:pPr>
      <w:framePr w:wrap="around"/>
      <w:spacing w:before="440"/>
    </w:pPr>
    <w:rPr>
      <w:rFonts w:ascii="宋体" w:eastAsia="宋体"/>
    </w:rPr>
  </w:style>
  <w:style w:type="paragraph" w:customStyle="1" w:styleId="23">
    <w:name w:val="其他发布日期"/>
    <w:basedOn w:val="24"/>
    <w:uiPriority w:val="0"/>
    <w:pPr>
      <w:framePr w:wrap="around" w:vAnchor="page" w:hAnchor="page" w:x="1419"/>
    </w:pPr>
  </w:style>
  <w:style w:type="paragraph" w:customStyle="1" w:styleId="24">
    <w:name w:val="发布日期"/>
    <w:uiPriority w:val="0"/>
    <w:pPr>
      <w:framePr w:w="3997" w:vSpace="181" w:wrap="around" w:vAnchor="margin" w:hAnchor="page" w:x="7089" w:y="14097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5">
    <w:name w:val="其他实施日期"/>
    <w:basedOn w:val="26"/>
    <w:uiPriority w:val="0"/>
    <w:pPr>
      <w:framePr w:wrap="around"/>
    </w:pPr>
  </w:style>
  <w:style w:type="paragraph" w:customStyle="1" w:styleId="26">
    <w:name w:val="实施日期"/>
    <w:basedOn w:val="24"/>
    <w:uiPriority w:val="0"/>
    <w:pPr>
      <w:framePr w:wrap="around" w:vAnchor="page" w:hAnchor="page"/>
      <w:jc w:val="right"/>
    </w:pPr>
  </w:style>
  <w:style w:type="paragraph" w:customStyle="1" w:styleId="27">
    <w:name w:val="其他发布部门"/>
    <w:basedOn w:val="28"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28">
    <w:name w:val="发布部门"/>
    <w:next w:val="10"/>
    <w:uiPriority w:val="0"/>
    <w:pPr>
      <w:framePr w:w="7938" w:hSpace="125" w:vSpace="181" w:wrap="around" w:vAnchor="page" w:hAnchor="page" w:x="2150" w:y="14630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character" w:customStyle="1" w:styleId="29">
    <w:name w:val="发布"/>
    <w:basedOn w:val="14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30">
    <w:name w:val="前言、引言标题"/>
    <w:next w:val="10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1">
    <w:name w:val="目次、标准名称标题"/>
    <w:basedOn w:val="1"/>
    <w:next w:val="10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2">
    <w:name w:val="章标题"/>
    <w:next w:val="10"/>
    <w:uiPriority w:val="0"/>
    <w:pPr>
      <w:numPr>
        <w:ilvl w:val="0"/>
        <w:numId w:val="1"/>
      </w:numPr>
      <w:spacing w:before="100" w:after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条1"/>
    <w:basedOn w:val="1"/>
    <w:next w:val="10"/>
    <w:uiPriority w:val="0"/>
    <w:pPr>
      <w:numPr>
        <w:ilvl w:val="1"/>
        <w:numId w:val="2"/>
      </w:numPr>
      <w:outlineLvl w:val="1"/>
    </w:pPr>
    <w:rPr>
      <w:rFonts w:ascii="黑体" w:eastAsia="黑体"/>
      <w:kern w:val="21"/>
    </w:rPr>
  </w:style>
  <w:style w:type="paragraph" w:customStyle="1" w:styleId="34">
    <w:name w:val="章"/>
    <w:basedOn w:val="1"/>
    <w:next w:val="10"/>
    <w:uiPriority w:val="0"/>
    <w:pPr>
      <w:numPr>
        <w:ilvl w:val="0"/>
        <w:numId w:val="2"/>
      </w:numPr>
      <w:adjustRightInd w:val="0"/>
      <w:spacing w:before="160" w:after="160"/>
      <w:outlineLvl w:val="0"/>
    </w:pPr>
    <w:rPr>
      <w:rFonts w:ascii="黑体" w:eastAsia="黑体"/>
      <w:kern w:val="21"/>
    </w:rPr>
  </w:style>
  <w:style w:type="paragraph" w:customStyle="1" w:styleId="35">
    <w:name w:val="条2"/>
    <w:basedOn w:val="1"/>
    <w:next w:val="10"/>
    <w:uiPriority w:val="0"/>
    <w:pPr>
      <w:numPr>
        <w:ilvl w:val="2"/>
        <w:numId w:val="2"/>
      </w:numPr>
      <w:outlineLvl w:val="1"/>
    </w:pPr>
    <w:rPr>
      <w:rFonts w:ascii="黑体" w:eastAsia="黑体"/>
      <w:kern w:val="21"/>
    </w:rPr>
  </w:style>
  <w:style w:type="paragraph" w:customStyle="1" w:styleId="36">
    <w:name w:val="条3"/>
    <w:basedOn w:val="1"/>
    <w:next w:val="10"/>
    <w:uiPriority w:val="0"/>
    <w:pPr>
      <w:numPr>
        <w:ilvl w:val="3"/>
        <w:numId w:val="2"/>
      </w:numPr>
      <w:outlineLvl w:val="1"/>
    </w:pPr>
    <w:rPr>
      <w:rFonts w:ascii="黑体" w:eastAsia="黑体"/>
      <w:kern w:val="21"/>
    </w:rPr>
  </w:style>
  <w:style w:type="paragraph" w:customStyle="1" w:styleId="37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8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4131</Words>
  <Characters>5055</Characters>
  <Lines>0</Lines>
  <Paragraphs>0</Paragraphs>
  <TotalTime>1</TotalTime>
  <ScaleCrop>false</ScaleCrop>
  <LinksUpToDate>false</LinksUpToDate>
  <CharactersWithSpaces>5203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2023-02-14T00:39:00Z</dcterms:created>
  <dc:creator>Administrator</dc:creator>
  <cp:lastModifiedBy>May</cp:lastModifiedBy>
  <dcterms:modified xsi:type="dcterms:W3CDTF">2023-02-14T00:56:25Z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5B576C3221044A76A45D0E07DA3CEE6D</vt:lpwstr>
  </property>
</Properties>
</file>